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276B28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SERVIÇO AUTÔNOMO MUNICIPAL DE SAÚDE - SAMS</w:t>
      </w:r>
    </w:p>
    <w:p w14:paraId="3EAC3605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CNPJ: 57.712.473/0001-39</w:t>
      </w:r>
    </w:p>
    <w:p w14:paraId="6FA12825">
      <w:pPr>
        <w:jc w:val="center"/>
        <w:rPr>
          <w:b/>
          <w:sz w:val="28"/>
          <w:szCs w:val="28"/>
          <w:u w:val="single"/>
        </w:rPr>
      </w:pPr>
    </w:p>
    <w:p w14:paraId="148DF47A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CONSULTA DE PREÇOS/INSTRUÇÃO DE PROCESSO LICITATÓRIO </w:t>
      </w:r>
    </w:p>
    <w:p w14:paraId="24E8A87D">
      <w:pPr>
        <w:jc w:val="both"/>
        <w:rPr>
          <w:b/>
        </w:rPr>
      </w:pPr>
    </w:p>
    <w:p w14:paraId="0C9497C8">
      <w:pPr>
        <w:spacing w:line="360" w:lineRule="auto"/>
        <w:jc w:val="both"/>
        <w:rPr>
          <w:b/>
        </w:rPr>
      </w:pPr>
      <w:r>
        <w:rPr>
          <w:b/>
        </w:rPr>
        <w:t>EMPRESA:</w:t>
      </w:r>
    </w:p>
    <w:p w14:paraId="3B8F9B5D">
      <w:pPr>
        <w:spacing w:line="360" w:lineRule="auto"/>
        <w:jc w:val="both"/>
        <w:rPr>
          <w:b/>
        </w:rPr>
      </w:pPr>
      <w:r>
        <w:rPr>
          <w:b/>
        </w:rPr>
        <w:t xml:space="preserve">CNPJ: </w:t>
      </w:r>
    </w:p>
    <w:p w14:paraId="0F48121C">
      <w:pPr>
        <w:spacing w:line="360" w:lineRule="auto"/>
        <w:jc w:val="both"/>
        <w:rPr>
          <w:b/>
        </w:rPr>
      </w:pPr>
      <w:r>
        <w:rPr>
          <w:b/>
        </w:rPr>
        <w:t xml:space="preserve">TELEFONE: </w:t>
      </w:r>
    </w:p>
    <w:p w14:paraId="5AEB6F0C">
      <w:pPr>
        <w:spacing w:line="360" w:lineRule="auto"/>
        <w:jc w:val="both"/>
        <w:rPr>
          <w:b/>
        </w:rPr>
      </w:pPr>
      <w:r>
        <w:rPr>
          <w:b/>
        </w:rPr>
        <w:t>E-MAIL:</w:t>
      </w:r>
    </w:p>
    <w:p w14:paraId="15100604">
      <w:pPr>
        <w:jc w:val="both"/>
        <w:rPr>
          <w:b/>
        </w:rPr>
      </w:pPr>
    </w:p>
    <w:p w14:paraId="3F6F9838">
      <w:pPr>
        <w:jc w:val="both"/>
      </w:pPr>
      <w:r>
        <w:t xml:space="preserve">Solicitamos o orçamento de preços para o fornecimento dos seguintes serviços abaixo relacionados, </w:t>
      </w:r>
      <w:r>
        <w:rPr>
          <w:b/>
          <w:u w:val="single"/>
        </w:rPr>
        <w:t xml:space="preserve">até o dia </w:t>
      </w:r>
      <w:r>
        <w:rPr>
          <w:rFonts w:hint="default"/>
          <w:b/>
          <w:u w:val="single"/>
          <w:lang w:val="pt-BR"/>
        </w:rPr>
        <w:t>21/08</w:t>
      </w:r>
      <w:r>
        <w:t xml:space="preserve">. A respectiva proposta de preços somente será recebida até o dia </w:t>
      </w:r>
      <w:r>
        <w:rPr>
          <w:u w:val="single"/>
        </w:rPr>
        <w:t>acima especificado</w:t>
      </w:r>
      <w:r>
        <w:t>, seja via por e-mail (</w:t>
      </w:r>
      <w:r>
        <w:rPr>
          <w:b/>
        </w:rPr>
        <w:t>compras@samsibitinga.sp.gov.br</w:t>
      </w:r>
      <w:r>
        <w:t>), digitalizada ou entregue pessoalmente no Departamento de Compras e Licitações, na Avenida Dr. Victor Maida, 1055, Centro – Ibitinga - SP, sendo desconsideradas propostas entregues fora do prazo ou sem identificação do proponente.</w:t>
      </w:r>
    </w:p>
    <w:p w14:paraId="0816DD97">
      <w:pPr>
        <w:jc w:val="both"/>
      </w:pPr>
    </w:p>
    <w:p w14:paraId="4457F7F5">
      <w:pPr>
        <w:numPr>
          <w:ilvl w:val="0"/>
          <w:numId w:val="1"/>
        </w:numPr>
        <w:tabs>
          <w:tab w:val="left" w:pos="368"/>
        </w:tabs>
        <w:spacing w:line="360" w:lineRule="auto"/>
        <w:ind w:left="246" w:hanging="246"/>
        <w:contextualSpacing/>
        <w:jc w:val="both"/>
        <w:rPr>
          <w:rFonts w:eastAsia="Calibri"/>
          <w:b/>
          <w:lang w:val="pt-BR" w:eastAsia="en-US" w:bidi="ar-SA"/>
        </w:rPr>
      </w:pPr>
      <w:r>
        <w:rPr>
          <w:b/>
        </w:rPr>
        <w:t>OBJETO</w:t>
      </w:r>
    </w:p>
    <w:p w14:paraId="7DD04D7D">
      <w:pPr>
        <w:numPr>
          <w:ilvl w:val="1"/>
          <w:numId w:val="2"/>
        </w:numPr>
        <w:spacing w:before="83"/>
        <w:jc w:val="both"/>
      </w:pPr>
      <w:r>
        <w:rPr>
          <w:rFonts w:hint="default" w:cs="Arial"/>
          <w:sz w:val="24"/>
          <w:szCs w:val="24"/>
          <w:lang w:val="pt-BR"/>
        </w:rPr>
        <w:t>C</w:t>
      </w:r>
      <w:r>
        <w:rPr>
          <w:rFonts w:cs="Arial"/>
          <w:sz w:val="24"/>
          <w:szCs w:val="24"/>
        </w:rPr>
        <w:t>ontratação de empresa(s) especializada(s) para prestação de serviços de diagnóstico por imagem aos usuários do Sistema Único de Saúde – SUS, compreendendo a realização dos exames, disponibilização das imagens, emissão dos respectivos laudos por profissionais legalmente habilitados, orientação aos pacientes quanto ao preparo, disponibilização de equipamentos, profissionais, materiais, insumos, sistemas informatizados, manutenção e todos os demais recursos necessários à adequada execução dos serviços</w:t>
      </w:r>
      <w:r>
        <w:t>:</w:t>
      </w:r>
    </w:p>
    <w:p w14:paraId="7EEB86F0">
      <w:pPr>
        <w:spacing w:before="83"/>
        <w:jc w:val="both"/>
      </w:pPr>
    </w:p>
    <w:p w14:paraId="7BE7A896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1</w:t>
      </w:r>
      <w:r>
        <w:rPr>
          <w:rFonts w:cs="Arial"/>
          <w:sz w:val="24"/>
          <w:szCs w:val="24"/>
        </w:rPr>
        <w:t>.2. A contratação compreenderá, conforme a necessidade assistencial do SAMS, os seguintes exames:</w:t>
      </w:r>
    </w:p>
    <w:tbl>
      <w:tblPr>
        <w:tblStyle w:val="21"/>
        <w:tblW w:w="9498" w:type="dxa"/>
        <w:tblInd w:w="5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99"/>
        <w:gridCol w:w="10"/>
        <w:gridCol w:w="4820"/>
        <w:gridCol w:w="992"/>
        <w:gridCol w:w="1417"/>
        <w:gridCol w:w="1560"/>
      </w:tblGrid>
      <w:tr w14:paraId="556D7C6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9498" w:type="dxa"/>
            <w:gridSpan w:val="6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auto"/>
          </w:tcPr>
          <w:p w14:paraId="33BC2701">
            <w:pPr>
              <w:pStyle w:val="23"/>
              <w:spacing w:before="120" w:after="1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01</w:t>
            </w:r>
          </w:p>
        </w:tc>
      </w:tr>
      <w:tr w14:paraId="53A6973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3860A279">
            <w:pPr>
              <w:pStyle w:val="2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B514AFD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0721B00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045EAEF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A550102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628A5F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63790D">
            <w:pPr>
              <w:pStyle w:val="23"/>
            </w:pPr>
            <w:r>
              <w:t>1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263C5FC">
            <w:pPr>
              <w:pStyle w:val="23"/>
              <w:ind w:left="57" w:right="57"/>
            </w:pPr>
            <w:r>
              <w:t>Exames de Ultrassonografia Geral. Grupo 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5FDDED7">
            <w:pPr>
              <w:pStyle w:val="23"/>
              <w:ind w:left="57" w:right="57"/>
              <w:jc w:val="right"/>
            </w:pPr>
            <w:r>
              <w:t>8.730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B7505BC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ED6C3A0">
            <w:pPr>
              <w:pStyle w:val="23"/>
              <w:ind w:left="57" w:right="57"/>
              <w:jc w:val="right"/>
            </w:pPr>
          </w:p>
        </w:tc>
      </w:tr>
      <w:tr w14:paraId="1B81B53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699" w:type="dxa"/>
            <w:tcBorders>
              <w:top w:val="single" w:color="000000" w:sz="6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C38C38">
            <w:pPr>
              <w:pStyle w:val="23"/>
            </w:pPr>
            <w:r>
              <w:t>2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1A3A3A">
            <w:pPr>
              <w:pStyle w:val="23"/>
              <w:ind w:left="57" w:right="57"/>
            </w:pPr>
            <w:r>
              <w:t>Exames de Ultrassonografia Doppler. Grupo II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036D10A">
            <w:pPr>
              <w:pStyle w:val="23"/>
              <w:ind w:left="57" w:right="57"/>
              <w:jc w:val="right"/>
            </w:pPr>
            <w:r>
              <w:t>548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3253A76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74FF2D">
            <w:pPr>
              <w:pStyle w:val="23"/>
              <w:ind w:left="57" w:right="57"/>
              <w:jc w:val="right"/>
            </w:pPr>
          </w:p>
        </w:tc>
      </w:tr>
      <w:tr w14:paraId="4A118D3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7938" w:type="dxa"/>
            <w:gridSpan w:val="5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0D8181C7">
            <w:pPr>
              <w:pStyle w:val="23"/>
              <w:spacing w:after="40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4C04DE9F">
            <w:pPr>
              <w:pStyle w:val="23"/>
              <w:spacing w:after="40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14:paraId="7820B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9498" w:type="dxa"/>
            <w:gridSpan w:val="6"/>
            <w:tcBorders>
              <w:left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9FCFCE4">
            <w:pPr>
              <w:pStyle w:val="23"/>
              <w:spacing w:before="120" w:after="12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02</w:t>
            </w:r>
          </w:p>
        </w:tc>
      </w:tr>
      <w:tr w14:paraId="14D7EAC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EFB2021">
            <w:pPr>
              <w:pStyle w:val="2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3230812B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1D709FE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F9D8E1F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F26045A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42CD9E8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5C9AED29">
            <w:pPr>
              <w:widowControl w:val="0"/>
              <w:autoSpaceDE w:val="0"/>
              <w:autoSpaceDN w:val="0"/>
              <w:spacing w:after="0" w:line="240" w:lineRule="auto"/>
              <w:rPr>
                <w:rFonts w:cs="Arial" w:eastAsiaTheme="minorHAnsi"/>
                <w:bCs/>
                <w:sz w:val="22"/>
              </w:rPr>
            </w:pPr>
            <w:r>
              <w:rPr>
                <w:rFonts w:cs="Arial" w:eastAsiaTheme="minorHAnsi"/>
                <w:bCs/>
                <w:sz w:val="22"/>
              </w:rPr>
              <w:t>3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864238D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Radiografia Geral. Grupo III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47E336">
            <w:pPr>
              <w:pStyle w:val="23"/>
              <w:ind w:left="57" w:right="57"/>
              <w:jc w:val="center"/>
            </w:pPr>
            <w:r>
              <w:t>13.275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761480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97AD96">
            <w:pPr>
              <w:pStyle w:val="23"/>
              <w:ind w:left="57" w:right="57"/>
              <w:jc w:val="right"/>
            </w:pPr>
          </w:p>
        </w:tc>
      </w:tr>
      <w:tr w14:paraId="3BEABB7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9" w:hRule="atLeast"/>
        </w:trPr>
        <w:tc>
          <w:tcPr>
            <w:tcW w:w="7938" w:type="dxa"/>
            <w:gridSpan w:val="5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46999377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70E835E7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14:paraId="3FFB2D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9498" w:type="dxa"/>
            <w:gridSpan w:val="6"/>
            <w:tcBorders>
              <w:left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0BA8579B">
            <w:pPr>
              <w:pStyle w:val="23"/>
              <w:spacing w:before="120" w:line="360" w:lineRule="auto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03</w:t>
            </w:r>
          </w:p>
        </w:tc>
      </w:tr>
      <w:tr w14:paraId="09DF30E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709" w:type="dxa"/>
            <w:gridSpan w:val="2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8411DA6">
            <w:pPr>
              <w:pStyle w:val="2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20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0673CE9B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3118831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D8C3CB4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A38135E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1282FD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1990418C">
            <w:pPr>
              <w:widowControl w:val="0"/>
              <w:autoSpaceDE w:val="0"/>
              <w:autoSpaceDN w:val="0"/>
              <w:spacing w:after="0" w:line="240" w:lineRule="auto"/>
              <w:rPr>
                <w:rFonts w:cs="Arial" w:eastAsiaTheme="minorHAnsi"/>
                <w:bCs/>
                <w:sz w:val="22"/>
              </w:rPr>
            </w:pPr>
            <w:r>
              <w:rPr>
                <w:rFonts w:cs="Arial" w:eastAsiaTheme="minorHAnsi"/>
                <w:bCs/>
                <w:sz w:val="22"/>
              </w:rPr>
              <w:t>4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F42182A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Desintometria Óssea. Grupo IV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F50BE4">
            <w:pPr>
              <w:pStyle w:val="23"/>
              <w:ind w:left="57" w:right="57"/>
              <w:jc w:val="center"/>
            </w:pPr>
            <w:r>
              <w:t>360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B56AFA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9D5534">
            <w:pPr>
              <w:pStyle w:val="23"/>
              <w:ind w:left="57" w:right="57"/>
              <w:jc w:val="right"/>
            </w:pPr>
          </w:p>
        </w:tc>
      </w:tr>
      <w:tr w14:paraId="75BFF7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</w:trPr>
        <w:tc>
          <w:tcPr>
            <w:tcW w:w="7938" w:type="dxa"/>
            <w:gridSpan w:val="5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72A4E7CE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3DC1A1A1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14:paraId="4A483C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9498" w:type="dxa"/>
            <w:gridSpan w:val="6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145DF07D">
            <w:pPr>
              <w:pStyle w:val="23"/>
              <w:spacing w:before="120" w:line="360" w:lineRule="auto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04</w:t>
            </w:r>
          </w:p>
        </w:tc>
      </w:tr>
      <w:tr w14:paraId="2E5520E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709" w:type="dxa"/>
            <w:gridSpan w:val="2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75210466">
            <w:pPr>
              <w:pStyle w:val="2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20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50322A6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EAE24DE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0A4EF513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AD28AC1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559B71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" w:hRule="atLeast"/>
        </w:trPr>
        <w:tc>
          <w:tcPr>
            <w:tcW w:w="709" w:type="dxa"/>
            <w:gridSpan w:val="2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603D6825">
            <w:pPr>
              <w:pStyle w:val="23"/>
              <w:ind w:left="57" w:right="57"/>
            </w:pPr>
            <w:r>
              <w:t>5</w:t>
            </w:r>
          </w:p>
        </w:tc>
        <w:tc>
          <w:tcPr>
            <w:tcW w:w="4820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1449B84B">
            <w:pPr>
              <w:pStyle w:val="23"/>
              <w:ind w:left="57" w:right="57"/>
            </w:pPr>
            <w:r>
              <w:t>Exames de Mamografia. Grupo V</w:t>
            </w:r>
          </w:p>
        </w:tc>
        <w:tc>
          <w:tcPr>
            <w:tcW w:w="992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42AAEF50">
            <w:pPr>
              <w:pStyle w:val="23"/>
              <w:ind w:left="57" w:right="57"/>
              <w:jc w:val="center"/>
            </w:pPr>
            <w:r>
              <w:t>1.500</w:t>
            </w:r>
          </w:p>
        </w:tc>
        <w:tc>
          <w:tcPr>
            <w:tcW w:w="1417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5A758A36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17CD99C1">
            <w:pPr>
              <w:pStyle w:val="23"/>
              <w:ind w:left="57" w:right="57"/>
              <w:jc w:val="right"/>
            </w:pPr>
          </w:p>
        </w:tc>
      </w:tr>
      <w:tr w14:paraId="054C876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0" w:hRule="atLeast"/>
        </w:trPr>
        <w:tc>
          <w:tcPr>
            <w:tcW w:w="7938" w:type="dxa"/>
            <w:gridSpan w:val="5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E7E2BC3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7482D56">
            <w:pPr>
              <w:pStyle w:val="23"/>
              <w:spacing w:before="120" w:line="360" w:lineRule="auto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14:paraId="49538D2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9498" w:type="dxa"/>
            <w:gridSpan w:val="6"/>
            <w:tcBorders>
              <w:left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13EA4B34">
            <w:pPr>
              <w:pStyle w:val="23"/>
              <w:spacing w:before="120" w:line="360" w:lineRule="auto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5</w:t>
            </w:r>
          </w:p>
        </w:tc>
      </w:tr>
      <w:tr w14:paraId="7D873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4DF1296E">
            <w:pPr>
              <w:pStyle w:val="23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333755B1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39EC0F30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80BBAD0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35AD715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393B1E7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440F40C5">
            <w:pPr>
              <w:widowControl w:val="0"/>
              <w:autoSpaceDE w:val="0"/>
              <w:autoSpaceDN w:val="0"/>
              <w:spacing w:after="0" w:line="240" w:lineRule="auto"/>
              <w:rPr>
                <w:rFonts w:cs="Arial" w:eastAsiaTheme="minorHAnsi"/>
                <w:bCs/>
                <w:sz w:val="22"/>
              </w:rPr>
            </w:pPr>
            <w:r>
              <w:rPr>
                <w:rFonts w:cs="Arial" w:eastAsiaTheme="minorHAnsi"/>
                <w:bCs/>
                <w:sz w:val="22"/>
              </w:rPr>
              <w:t>6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90BD10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Ressonância Magnética Geral com contraste. Grupo VI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27F877">
            <w:pPr>
              <w:pStyle w:val="23"/>
              <w:ind w:left="57" w:right="57"/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BED1B58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ACE14C">
            <w:pPr>
              <w:pStyle w:val="23"/>
              <w:ind w:left="57" w:right="57"/>
              <w:jc w:val="right"/>
            </w:pPr>
          </w:p>
        </w:tc>
      </w:tr>
      <w:tr w14:paraId="6C37A5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699" w:type="dxa"/>
            <w:tcBorders>
              <w:left w:val="single" w:color="000000" w:sz="4" w:space="0"/>
              <w:right w:val="single" w:color="000000" w:sz="6" w:space="0"/>
            </w:tcBorders>
            <w:vAlign w:val="center"/>
          </w:tcPr>
          <w:p w14:paraId="21AD68F6">
            <w:pPr>
              <w:widowControl w:val="0"/>
              <w:autoSpaceDE w:val="0"/>
              <w:autoSpaceDN w:val="0"/>
              <w:spacing w:after="0" w:line="240" w:lineRule="auto"/>
              <w:rPr>
                <w:rFonts w:cs="Arial" w:eastAsiaTheme="minorHAnsi"/>
                <w:bCs/>
                <w:sz w:val="22"/>
              </w:rPr>
            </w:pPr>
            <w:r>
              <w:rPr>
                <w:rFonts w:cs="Arial" w:eastAsiaTheme="minorHAnsi"/>
                <w:bCs/>
                <w:sz w:val="22"/>
              </w:rPr>
              <w:t>7</w:t>
            </w:r>
          </w:p>
        </w:tc>
        <w:tc>
          <w:tcPr>
            <w:tcW w:w="483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54C32C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Ressonância Magnética Geral sem contraste. Grupo VI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9AF5ED0">
            <w:pPr>
              <w:pStyle w:val="23"/>
              <w:ind w:left="57" w:right="57"/>
              <w:jc w:val="center"/>
            </w:pPr>
            <w:r>
              <w:t>240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CAE8F81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D0B684">
            <w:pPr>
              <w:pStyle w:val="23"/>
              <w:ind w:left="57" w:right="57"/>
              <w:jc w:val="right"/>
            </w:pPr>
          </w:p>
        </w:tc>
      </w:tr>
      <w:tr w14:paraId="38ED094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938" w:type="dxa"/>
            <w:gridSpan w:val="5"/>
            <w:tcBorders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62D4733">
            <w:pPr>
              <w:pStyle w:val="23"/>
              <w:ind w:left="57" w:right="57"/>
              <w:jc w:val="right"/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1DF059C4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  <w:tr w14:paraId="711AA90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" w:hRule="atLeast"/>
        </w:trPr>
        <w:tc>
          <w:tcPr>
            <w:tcW w:w="9498" w:type="dxa"/>
            <w:gridSpan w:val="6"/>
            <w:tcBorders>
              <w:left w:val="single" w:color="000000" w:sz="4" w:space="0"/>
              <w:right w:val="single" w:color="000000" w:sz="6" w:space="0"/>
            </w:tcBorders>
            <w:shd w:val="clear" w:color="auto" w:fill="auto"/>
            <w:vAlign w:val="center"/>
          </w:tcPr>
          <w:p w14:paraId="5CC97F5F">
            <w:pPr>
              <w:pStyle w:val="23"/>
              <w:spacing w:before="120" w:line="360" w:lineRule="auto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LOTE 6</w:t>
            </w:r>
          </w:p>
        </w:tc>
      </w:tr>
      <w:tr w14:paraId="4A9A17B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52E46BCE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Item</w:t>
            </w:r>
          </w:p>
        </w:tc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4F9AB7A9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Descrição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AE8154C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Quant.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4261C323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Unit. Estimado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62F181FB">
            <w:pPr>
              <w:pStyle w:val="23"/>
              <w:spacing w:after="40"/>
              <w:ind w:left="57" w:right="57"/>
              <w:jc w:val="center"/>
              <w:rPr>
                <w:b/>
              </w:rPr>
            </w:pPr>
            <w:r>
              <w:rPr>
                <w:b/>
              </w:rPr>
              <w:t>Vr. Total Estimado</w:t>
            </w:r>
          </w:p>
        </w:tc>
      </w:tr>
      <w:tr w14:paraId="63D012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481DDA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8</w:t>
            </w:r>
          </w:p>
        </w:tc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1096B7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Tomografia Computadorizada Geral com contraste. Grupo VII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499037E">
            <w:pPr>
              <w:pStyle w:val="23"/>
              <w:ind w:left="57" w:right="57"/>
              <w:jc w:val="center"/>
            </w:pPr>
            <w:r>
              <w:t>900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8D06608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E185A7">
            <w:pPr>
              <w:pStyle w:val="23"/>
              <w:ind w:left="57" w:right="57"/>
              <w:jc w:val="right"/>
            </w:pPr>
          </w:p>
        </w:tc>
      </w:tr>
      <w:tr w14:paraId="3101A1D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09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08ED39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9</w:t>
            </w:r>
          </w:p>
        </w:tc>
        <w:tc>
          <w:tcPr>
            <w:tcW w:w="482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F456DCF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ind w:left="57" w:right="57"/>
            </w:pPr>
            <w:r>
              <w:t>Exames de Tomografia Computadorizada sem contraste. Grupo VII</w:t>
            </w:r>
          </w:p>
        </w:tc>
        <w:tc>
          <w:tcPr>
            <w:tcW w:w="99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142A416">
            <w:pPr>
              <w:pStyle w:val="23"/>
              <w:ind w:left="57" w:right="57"/>
              <w:jc w:val="center"/>
            </w:pPr>
            <w:r>
              <w:t>720</w:t>
            </w:r>
          </w:p>
        </w:tc>
        <w:tc>
          <w:tcPr>
            <w:tcW w:w="141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D2EDC3C">
            <w:pPr>
              <w:pStyle w:val="23"/>
              <w:ind w:left="57" w:right="57"/>
              <w:jc w:val="right"/>
            </w:pP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99DB41D">
            <w:pPr>
              <w:pStyle w:val="23"/>
              <w:ind w:left="57" w:right="57"/>
              <w:jc w:val="right"/>
            </w:pPr>
          </w:p>
        </w:tc>
      </w:tr>
      <w:tr w14:paraId="223C79D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" w:hRule="atLeast"/>
        </w:trPr>
        <w:tc>
          <w:tcPr>
            <w:tcW w:w="7938" w:type="dxa"/>
            <w:gridSpan w:val="5"/>
            <w:tcBorders>
              <w:left w:val="single" w:color="000000" w:sz="4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C1F468E">
            <w:pPr>
              <w:pStyle w:val="23"/>
              <w:ind w:left="57" w:right="57"/>
              <w:jc w:val="right"/>
            </w:pPr>
            <w:r>
              <w:rPr>
                <w:b/>
              </w:rPr>
              <w:t>VALOR GLOBAL ESTIMADO PARA O LOTE</w:t>
            </w:r>
          </w:p>
        </w:tc>
        <w:tc>
          <w:tcPr>
            <w:tcW w:w="15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D8D8D8" w:themeFill="background1" w:themeFillShade="D9"/>
            <w:vAlign w:val="center"/>
          </w:tcPr>
          <w:p w14:paraId="2F505451">
            <w:pPr>
              <w:pStyle w:val="23"/>
              <w:ind w:left="57" w:right="57"/>
              <w:jc w:val="right"/>
              <w:rPr>
                <w:b/>
              </w:rPr>
            </w:pPr>
            <w:r>
              <w:rPr>
                <w:b/>
              </w:rPr>
              <w:t>R$</w:t>
            </w:r>
          </w:p>
        </w:tc>
      </w:tr>
    </w:tbl>
    <w:p w14:paraId="4AE586F9">
      <w:pPr>
        <w:jc w:val="both"/>
        <w:rPr>
          <w:rFonts w:cs="Arial"/>
          <w:sz w:val="24"/>
          <w:szCs w:val="24"/>
        </w:rPr>
      </w:pPr>
    </w:p>
    <w:p w14:paraId="7C9EDD1D">
      <w:pPr>
        <w:spacing w:after="240"/>
        <w:jc w:val="both"/>
        <w:rPr>
          <w:rFonts w:cs="Arial"/>
          <w:sz w:val="24"/>
          <w:szCs w:val="24"/>
        </w:rPr>
      </w:pPr>
      <w:r>
        <w:rPr>
          <w:rFonts w:cs="Arial"/>
          <w:b/>
          <w:sz w:val="24"/>
          <w:szCs w:val="24"/>
        </w:rPr>
        <w:t>ESPECIFICAÇÕES:</w:t>
      </w:r>
      <w:r>
        <w:rPr>
          <w:rFonts w:cs="Arial"/>
          <w:sz w:val="24"/>
          <w:szCs w:val="24"/>
        </w:rPr>
        <w:t xml:space="preserve"> A quantidade total de exames estimada durante o prazo de 12 (doze) meses de vigência será classificada da seguinte maneira:</w:t>
      </w:r>
    </w:p>
    <w:tbl>
      <w:tblPr>
        <w:tblStyle w:val="2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8"/>
        <w:gridCol w:w="4283"/>
        <w:gridCol w:w="1896"/>
      </w:tblGrid>
      <w:tr w14:paraId="1FCD7F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7A01C20C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I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7C597090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01BA15AF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48D3E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restart"/>
            <w:vAlign w:val="center"/>
          </w:tcPr>
          <w:p w14:paraId="7506D0C0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Ultrassonografia em Geral</w:t>
            </w:r>
          </w:p>
        </w:tc>
        <w:tc>
          <w:tcPr>
            <w:tcW w:w="4440" w:type="dxa"/>
            <w:vAlign w:val="center"/>
          </w:tcPr>
          <w:p w14:paraId="187E1A9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Obstétrica</w:t>
            </w:r>
          </w:p>
        </w:tc>
        <w:tc>
          <w:tcPr>
            <w:tcW w:w="1924" w:type="dxa"/>
            <w:vAlign w:val="center"/>
          </w:tcPr>
          <w:p w14:paraId="50DB1377">
            <w:pPr>
              <w:pStyle w:val="23"/>
              <w:spacing w:after="40"/>
              <w:ind w:left="57" w:right="57"/>
              <w:jc w:val="center"/>
            </w:pPr>
            <w:r>
              <w:t>1.200</w:t>
            </w:r>
          </w:p>
        </w:tc>
      </w:tr>
      <w:tr w14:paraId="2CC46B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788F183F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A4CFA9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Pélvica</w:t>
            </w:r>
          </w:p>
        </w:tc>
        <w:tc>
          <w:tcPr>
            <w:tcW w:w="1924" w:type="dxa"/>
            <w:vAlign w:val="center"/>
          </w:tcPr>
          <w:p w14:paraId="6CF5D5B2">
            <w:pPr>
              <w:pStyle w:val="23"/>
              <w:spacing w:after="40"/>
              <w:ind w:left="57" w:right="57"/>
              <w:jc w:val="center"/>
            </w:pPr>
            <w:r>
              <w:t>120</w:t>
            </w:r>
          </w:p>
        </w:tc>
      </w:tr>
      <w:tr w14:paraId="67339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397B132E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D6B125D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Articulação</w:t>
            </w:r>
          </w:p>
        </w:tc>
        <w:tc>
          <w:tcPr>
            <w:tcW w:w="1924" w:type="dxa"/>
            <w:vAlign w:val="center"/>
          </w:tcPr>
          <w:p w14:paraId="5BD1DCC6">
            <w:pPr>
              <w:pStyle w:val="23"/>
              <w:spacing w:after="40"/>
              <w:ind w:left="57" w:right="57"/>
              <w:jc w:val="center"/>
            </w:pPr>
            <w:r>
              <w:t>1.800</w:t>
            </w:r>
          </w:p>
        </w:tc>
      </w:tr>
      <w:tr w14:paraId="48687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081CC479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ADF4571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Mama</w:t>
            </w:r>
          </w:p>
        </w:tc>
        <w:tc>
          <w:tcPr>
            <w:tcW w:w="1924" w:type="dxa"/>
            <w:vAlign w:val="center"/>
          </w:tcPr>
          <w:p w14:paraId="6C47A4B8">
            <w:pPr>
              <w:pStyle w:val="23"/>
              <w:spacing w:after="40"/>
              <w:ind w:left="57" w:right="57"/>
              <w:jc w:val="center"/>
            </w:pPr>
            <w:r>
              <w:t>600</w:t>
            </w:r>
          </w:p>
        </w:tc>
      </w:tr>
      <w:tr w14:paraId="42025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220A2576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75587C71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Transvaginal</w:t>
            </w:r>
          </w:p>
        </w:tc>
        <w:tc>
          <w:tcPr>
            <w:tcW w:w="1924" w:type="dxa"/>
            <w:vAlign w:val="center"/>
          </w:tcPr>
          <w:p w14:paraId="5B17A852">
            <w:pPr>
              <w:pStyle w:val="23"/>
              <w:spacing w:after="40"/>
              <w:ind w:left="57" w:right="57"/>
              <w:jc w:val="center"/>
            </w:pPr>
            <w:r>
              <w:t>1.400</w:t>
            </w:r>
          </w:p>
        </w:tc>
      </w:tr>
      <w:tr w14:paraId="38EBCF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4122136B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99CDBD8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Abdômen Total</w:t>
            </w:r>
          </w:p>
        </w:tc>
        <w:tc>
          <w:tcPr>
            <w:tcW w:w="1924" w:type="dxa"/>
            <w:vAlign w:val="center"/>
          </w:tcPr>
          <w:p w14:paraId="291264B4">
            <w:pPr>
              <w:pStyle w:val="23"/>
              <w:spacing w:after="40"/>
              <w:ind w:left="57" w:right="57"/>
              <w:jc w:val="center"/>
            </w:pPr>
            <w:r>
              <w:t>1.600</w:t>
            </w:r>
          </w:p>
        </w:tc>
      </w:tr>
      <w:tr w14:paraId="6CB5E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0217FE9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2CFCB0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Abdômen Superior</w:t>
            </w:r>
          </w:p>
        </w:tc>
        <w:tc>
          <w:tcPr>
            <w:tcW w:w="1924" w:type="dxa"/>
            <w:vAlign w:val="center"/>
          </w:tcPr>
          <w:p w14:paraId="0C38D8AC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28FA9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095189E9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BDBB110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Vias Urinárias</w:t>
            </w:r>
          </w:p>
        </w:tc>
        <w:tc>
          <w:tcPr>
            <w:tcW w:w="1924" w:type="dxa"/>
            <w:vAlign w:val="center"/>
          </w:tcPr>
          <w:p w14:paraId="22EE5894">
            <w:pPr>
              <w:pStyle w:val="23"/>
              <w:spacing w:after="40"/>
              <w:ind w:left="57" w:right="57"/>
              <w:jc w:val="center"/>
            </w:pPr>
            <w:r>
              <w:t>480</w:t>
            </w:r>
          </w:p>
        </w:tc>
      </w:tr>
      <w:tr w14:paraId="3D6F97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29BE255A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5B33F9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Órgãos e Estruturas, Órbitas e Transfontanela</w:t>
            </w:r>
          </w:p>
        </w:tc>
        <w:tc>
          <w:tcPr>
            <w:tcW w:w="1924" w:type="dxa"/>
            <w:vAlign w:val="center"/>
          </w:tcPr>
          <w:p w14:paraId="5396E17A">
            <w:pPr>
              <w:pStyle w:val="23"/>
              <w:spacing w:after="40"/>
              <w:ind w:left="57" w:right="57"/>
              <w:jc w:val="center"/>
            </w:pPr>
            <w:r>
              <w:t>1.200</w:t>
            </w:r>
          </w:p>
        </w:tc>
      </w:tr>
      <w:tr w14:paraId="5E150B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02EE895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7E15656C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Próstata</w:t>
            </w:r>
          </w:p>
        </w:tc>
        <w:tc>
          <w:tcPr>
            <w:tcW w:w="1924" w:type="dxa"/>
            <w:vAlign w:val="center"/>
          </w:tcPr>
          <w:p w14:paraId="5DAE5A96">
            <w:pPr>
              <w:pStyle w:val="23"/>
              <w:spacing w:after="40"/>
              <w:ind w:left="57" w:right="57"/>
              <w:jc w:val="center"/>
            </w:pPr>
            <w:r>
              <w:t>180</w:t>
            </w:r>
          </w:p>
        </w:tc>
      </w:tr>
      <w:tr w14:paraId="4F1C2D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6A6B9DC6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Ultrassonografia Geral</w:t>
            </w:r>
          </w:p>
        </w:tc>
        <w:tc>
          <w:tcPr>
            <w:tcW w:w="1924" w:type="dxa"/>
          </w:tcPr>
          <w:p w14:paraId="2F833841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8.730</w:t>
            </w:r>
          </w:p>
        </w:tc>
      </w:tr>
      <w:tr w14:paraId="387D3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689D2130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II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3DCC2EE7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7C6B6276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21237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restart"/>
            <w:vAlign w:val="center"/>
          </w:tcPr>
          <w:p w14:paraId="752D0A3B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Ultrassonografia com Doppler</w:t>
            </w:r>
          </w:p>
        </w:tc>
        <w:tc>
          <w:tcPr>
            <w:tcW w:w="4440" w:type="dxa"/>
            <w:vAlign w:val="center"/>
          </w:tcPr>
          <w:p w14:paraId="3B14C349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Venoso de membros superiores/inferiores</w:t>
            </w:r>
          </w:p>
        </w:tc>
        <w:tc>
          <w:tcPr>
            <w:tcW w:w="1924" w:type="dxa"/>
            <w:vAlign w:val="center"/>
          </w:tcPr>
          <w:p w14:paraId="2435E36E">
            <w:pPr>
              <w:pStyle w:val="23"/>
              <w:spacing w:after="40"/>
              <w:ind w:left="57" w:right="57"/>
              <w:jc w:val="center"/>
            </w:pPr>
            <w:r>
              <w:t>248</w:t>
            </w:r>
          </w:p>
        </w:tc>
      </w:tr>
      <w:tr w14:paraId="59ACBD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56D74117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F44C5C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Arterial de membros superiores/inferiores</w:t>
            </w:r>
          </w:p>
        </w:tc>
        <w:tc>
          <w:tcPr>
            <w:tcW w:w="1924" w:type="dxa"/>
            <w:vAlign w:val="center"/>
          </w:tcPr>
          <w:p w14:paraId="37FD684A">
            <w:pPr>
              <w:pStyle w:val="23"/>
              <w:spacing w:after="40"/>
              <w:ind w:left="57" w:right="57"/>
              <w:jc w:val="center"/>
            </w:pPr>
            <w:r>
              <w:t>180</w:t>
            </w:r>
          </w:p>
        </w:tc>
      </w:tr>
      <w:tr w14:paraId="518B64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4F2CE7AB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C89B0B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Carótidas e vertebrais</w:t>
            </w:r>
          </w:p>
        </w:tc>
        <w:tc>
          <w:tcPr>
            <w:tcW w:w="1924" w:type="dxa"/>
            <w:vAlign w:val="center"/>
          </w:tcPr>
          <w:p w14:paraId="6BAB1A47">
            <w:pPr>
              <w:pStyle w:val="23"/>
              <w:spacing w:after="40"/>
              <w:ind w:left="57" w:right="57"/>
              <w:jc w:val="center"/>
            </w:pPr>
            <w:r>
              <w:t>120</w:t>
            </w:r>
          </w:p>
        </w:tc>
      </w:tr>
      <w:tr w14:paraId="054659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46FCD20B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Ultrassonografia com Doppler</w:t>
            </w:r>
          </w:p>
        </w:tc>
        <w:tc>
          <w:tcPr>
            <w:tcW w:w="1924" w:type="dxa"/>
          </w:tcPr>
          <w:p w14:paraId="65005CA8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548</w:t>
            </w:r>
          </w:p>
        </w:tc>
      </w:tr>
      <w:tr w14:paraId="74FFB3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2B0AB95E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III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612B985D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4FF10479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5397B3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restart"/>
            <w:vAlign w:val="center"/>
          </w:tcPr>
          <w:p w14:paraId="68728E12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Radiografia Geral</w:t>
            </w:r>
          </w:p>
        </w:tc>
        <w:tc>
          <w:tcPr>
            <w:tcW w:w="4440" w:type="dxa"/>
            <w:vAlign w:val="center"/>
          </w:tcPr>
          <w:p w14:paraId="76D9C383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Abdômen</w:t>
            </w:r>
          </w:p>
        </w:tc>
        <w:tc>
          <w:tcPr>
            <w:tcW w:w="1924" w:type="dxa"/>
            <w:vAlign w:val="center"/>
          </w:tcPr>
          <w:p w14:paraId="2678B574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3642E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</w:tcPr>
          <w:p w14:paraId="66796A6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F2594EF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Antebraço</w:t>
            </w:r>
          </w:p>
        </w:tc>
        <w:tc>
          <w:tcPr>
            <w:tcW w:w="1924" w:type="dxa"/>
            <w:vAlign w:val="center"/>
          </w:tcPr>
          <w:p w14:paraId="7071E7AF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38F9B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2099255F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7EE8F1BC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Articulação Acrômio Clavicular</w:t>
            </w:r>
          </w:p>
        </w:tc>
        <w:tc>
          <w:tcPr>
            <w:tcW w:w="1924" w:type="dxa"/>
            <w:vAlign w:val="center"/>
          </w:tcPr>
          <w:p w14:paraId="35A49870">
            <w:pPr>
              <w:pStyle w:val="23"/>
              <w:spacing w:after="40"/>
              <w:ind w:left="57" w:right="57"/>
              <w:jc w:val="center"/>
            </w:pPr>
            <w:r>
              <w:t>75</w:t>
            </w:r>
          </w:p>
        </w:tc>
      </w:tr>
      <w:tr w14:paraId="7D136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07ED881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C81DAA0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Bacia</w:t>
            </w:r>
          </w:p>
        </w:tc>
        <w:tc>
          <w:tcPr>
            <w:tcW w:w="1924" w:type="dxa"/>
            <w:vAlign w:val="center"/>
          </w:tcPr>
          <w:p w14:paraId="2FA3311A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0EE5D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F46D21E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7A82BE4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Braço</w:t>
            </w:r>
          </w:p>
        </w:tc>
        <w:tc>
          <w:tcPr>
            <w:tcW w:w="1924" w:type="dxa"/>
            <w:vAlign w:val="center"/>
          </w:tcPr>
          <w:p w14:paraId="1B50648D">
            <w:pPr>
              <w:pStyle w:val="23"/>
              <w:spacing w:after="40"/>
              <w:ind w:left="57" w:right="57"/>
              <w:jc w:val="center"/>
            </w:pPr>
            <w:r>
              <w:t>300</w:t>
            </w:r>
          </w:p>
        </w:tc>
      </w:tr>
      <w:tr w14:paraId="6EB839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051597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86CD28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Calcâneo</w:t>
            </w:r>
          </w:p>
        </w:tc>
        <w:tc>
          <w:tcPr>
            <w:tcW w:w="1924" w:type="dxa"/>
            <w:vAlign w:val="center"/>
          </w:tcPr>
          <w:p w14:paraId="50023D80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2051B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583B685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C3E127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Cavum</w:t>
            </w:r>
          </w:p>
        </w:tc>
        <w:tc>
          <w:tcPr>
            <w:tcW w:w="1924" w:type="dxa"/>
            <w:vAlign w:val="center"/>
          </w:tcPr>
          <w:p w14:paraId="4D5D23DD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666DB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264EC89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1826C9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Clavícula</w:t>
            </w:r>
          </w:p>
        </w:tc>
        <w:tc>
          <w:tcPr>
            <w:tcW w:w="1924" w:type="dxa"/>
            <w:vAlign w:val="center"/>
          </w:tcPr>
          <w:p w14:paraId="49B236BB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4E8136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1D0F0A5B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1239C638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Clister Opaco</w:t>
            </w:r>
          </w:p>
        </w:tc>
        <w:tc>
          <w:tcPr>
            <w:tcW w:w="1924" w:type="dxa"/>
            <w:vAlign w:val="center"/>
          </w:tcPr>
          <w:p w14:paraId="710B9D3C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087D70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208C106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433D3B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Cervical e Coluna Cervical Dinânima - Flexão</w:t>
            </w:r>
          </w:p>
        </w:tc>
        <w:tc>
          <w:tcPr>
            <w:tcW w:w="1924" w:type="dxa"/>
            <w:vAlign w:val="center"/>
          </w:tcPr>
          <w:p w14:paraId="2F5A05D5">
            <w:pPr>
              <w:pStyle w:val="23"/>
              <w:spacing w:after="40"/>
              <w:ind w:left="57" w:right="57"/>
              <w:jc w:val="center"/>
            </w:pPr>
            <w:r>
              <w:t>600</w:t>
            </w:r>
          </w:p>
        </w:tc>
      </w:tr>
      <w:tr w14:paraId="595682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7AA86DC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F3E7AAC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Cervical Oblíqua</w:t>
            </w:r>
          </w:p>
        </w:tc>
        <w:tc>
          <w:tcPr>
            <w:tcW w:w="1924" w:type="dxa"/>
            <w:vAlign w:val="center"/>
          </w:tcPr>
          <w:p w14:paraId="4CF77721">
            <w:pPr>
              <w:pStyle w:val="23"/>
              <w:spacing w:after="40"/>
              <w:ind w:left="57" w:right="57"/>
              <w:jc w:val="center"/>
            </w:pPr>
            <w:r>
              <w:t>75</w:t>
            </w:r>
          </w:p>
        </w:tc>
      </w:tr>
      <w:tr w14:paraId="1E793E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075E675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B78049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Lombar Oblíqua</w:t>
            </w:r>
          </w:p>
        </w:tc>
        <w:tc>
          <w:tcPr>
            <w:tcW w:w="1924" w:type="dxa"/>
            <w:vAlign w:val="center"/>
          </w:tcPr>
          <w:p w14:paraId="2A45D50E">
            <w:pPr>
              <w:pStyle w:val="23"/>
              <w:spacing w:after="40"/>
              <w:ind w:left="57" w:right="57"/>
              <w:jc w:val="center"/>
            </w:pPr>
            <w:r>
              <w:t>75</w:t>
            </w:r>
          </w:p>
        </w:tc>
      </w:tr>
      <w:tr w14:paraId="6E314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78AC860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CFBBA98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Axial de Patela</w:t>
            </w:r>
          </w:p>
        </w:tc>
        <w:tc>
          <w:tcPr>
            <w:tcW w:w="1924" w:type="dxa"/>
            <w:vAlign w:val="center"/>
          </w:tcPr>
          <w:p w14:paraId="58612911">
            <w:pPr>
              <w:pStyle w:val="23"/>
              <w:spacing w:after="40"/>
              <w:ind w:left="57" w:right="57"/>
              <w:jc w:val="center"/>
            </w:pPr>
            <w:r>
              <w:t>400</w:t>
            </w:r>
          </w:p>
        </w:tc>
      </w:tr>
      <w:tr w14:paraId="3BDF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4803E25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17FF5A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Dorsal - Coluna Torácica</w:t>
            </w:r>
          </w:p>
        </w:tc>
        <w:tc>
          <w:tcPr>
            <w:tcW w:w="1924" w:type="dxa"/>
            <w:vAlign w:val="center"/>
          </w:tcPr>
          <w:p w14:paraId="552C4D95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231AA3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8535DF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25D7F1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Total – Panorâmica para Escoliose</w:t>
            </w:r>
          </w:p>
        </w:tc>
        <w:tc>
          <w:tcPr>
            <w:tcW w:w="1924" w:type="dxa"/>
            <w:vAlign w:val="center"/>
          </w:tcPr>
          <w:p w14:paraId="5D7E82B1">
            <w:pPr>
              <w:pStyle w:val="23"/>
              <w:spacing w:after="40"/>
              <w:ind w:left="57" w:right="57"/>
              <w:jc w:val="center"/>
            </w:pPr>
            <w:r>
              <w:t>100</w:t>
            </w:r>
          </w:p>
        </w:tc>
      </w:tr>
      <w:tr w14:paraId="5DFE1B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EB0F54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9EE0318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Lombo-Sacra</w:t>
            </w:r>
          </w:p>
        </w:tc>
        <w:tc>
          <w:tcPr>
            <w:tcW w:w="1924" w:type="dxa"/>
            <w:vAlign w:val="center"/>
          </w:tcPr>
          <w:p w14:paraId="501E8893">
            <w:pPr>
              <w:pStyle w:val="23"/>
              <w:spacing w:after="40"/>
              <w:ind w:left="57" w:right="57"/>
              <w:jc w:val="center"/>
            </w:pPr>
            <w:r>
              <w:t>1.350</w:t>
            </w:r>
          </w:p>
        </w:tc>
      </w:tr>
      <w:tr w14:paraId="1A4F4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27603F6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4F5AFCD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Costelas – Arcos Costais</w:t>
            </w:r>
          </w:p>
        </w:tc>
        <w:tc>
          <w:tcPr>
            <w:tcW w:w="1924" w:type="dxa"/>
            <w:vAlign w:val="center"/>
          </w:tcPr>
          <w:p w14:paraId="6FB69DE7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7B24D8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FCF051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94929A3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Cotovelo</w:t>
            </w:r>
          </w:p>
        </w:tc>
        <w:tc>
          <w:tcPr>
            <w:tcW w:w="1924" w:type="dxa"/>
            <w:vAlign w:val="center"/>
          </w:tcPr>
          <w:p w14:paraId="6A3935F1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343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ED1E348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154F997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Coxa – Umeral Fêmur</w:t>
            </w:r>
          </w:p>
        </w:tc>
        <w:tc>
          <w:tcPr>
            <w:tcW w:w="1924" w:type="dxa"/>
            <w:vAlign w:val="center"/>
          </w:tcPr>
          <w:p w14:paraId="10EF2737">
            <w:pPr>
              <w:pStyle w:val="23"/>
              <w:spacing w:after="40"/>
              <w:ind w:left="57" w:right="57"/>
              <w:jc w:val="center"/>
            </w:pPr>
            <w:r>
              <w:t>500</w:t>
            </w:r>
          </w:p>
        </w:tc>
      </w:tr>
      <w:tr w14:paraId="7AEB0B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5E5CE6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FF6F403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Coxa Femural (Quadril)</w:t>
            </w:r>
          </w:p>
        </w:tc>
        <w:tc>
          <w:tcPr>
            <w:tcW w:w="1924" w:type="dxa"/>
            <w:vAlign w:val="center"/>
          </w:tcPr>
          <w:p w14:paraId="40DEC025">
            <w:pPr>
              <w:pStyle w:val="23"/>
              <w:spacing w:after="40"/>
              <w:ind w:left="57" w:right="57"/>
              <w:jc w:val="center"/>
            </w:pPr>
            <w:r>
              <w:t>300</w:t>
            </w:r>
          </w:p>
        </w:tc>
      </w:tr>
      <w:tr w14:paraId="7B8F2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1131561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19AFA0B4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Crânio</w:t>
            </w:r>
          </w:p>
        </w:tc>
        <w:tc>
          <w:tcPr>
            <w:tcW w:w="1924" w:type="dxa"/>
            <w:vAlign w:val="center"/>
          </w:tcPr>
          <w:p w14:paraId="69E34F04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04C0F7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7ED3356C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6B6D5D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Escanometria</w:t>
            </w:r>
          </w:p>
        </w:tc>
        <w:tc>
          <w:tcPr>
            <w:tcW w:w="1924" w:type="dxa"/>
            <w:vAlign w:val="center"/>
          </w:tcPr>
          <w:p w14:paraId="528407FD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3C2115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D659F7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4910D8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Esôfago</w:t>
            </w:r>
          </w:p>
        </w:tc>
        <w:tc>
          <w:tcPr>
            <w:tcW w:w="1924" w:type="dxa"/>
            <w:vAlign w:val="center"/>
          </w:tcPr>
          <w:p w14:paraId="1E5AD526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34E0EA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EB741CE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05930C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Esterno</w:t>
            </w:r>
          </w:p>
        </w:tc>
        <w:tc>
          <w:tcPr>
            <w:tcW w:w="1924" w:type="dxa"/>
            <w:vAlign w:val="center"/>
          </w:tcPr>
          <w:p w14:paraId="79A5C69D">
            <w:pPr>
              <w:pStyle w:val="23"/>
              <w:spacing w:after="40"/>
              <w:ind w:left="57" w:right="57"/>
              <w:jc w:val="center"/>
            </w:pPr>
            <w:r>
              <w:t>30</w:t>
            </w:r>
          </w:p>
        </w:tc>
      </w:tr>
      <w:tr w14:paraId="3BCDBF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7B620F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03053D1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Coluna Dorso Lombar (Escoliose)</w:t>
            </w:r>
          </w:p>
        </w:tc>
        <w:tc>
          <w:tcPr>
            <w:tcW w:w="1924" w:type="dxa"/>
            <w:vAlign w:val="center"/>
          </w:tcPr>
          <w:p w14:paraId="5A966087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28ABE1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EDADA2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1C86BF3A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Joelho</w:t>
            </w:r>
          </w:p>
        </w:tc>
        <w:tc>
          <w:tcPr>
            <w:tcW w:w="1924" w:type="dxa"/>
            <w:vAlign w:val="center"/>
          </w:tcPr>
          <w:p w14:paraId="37654058">
            <w:pPr>
              <w:pStyle w:val="23"/>
              <w:spacing w:after="40"/>
              <w:ind w:left="57" w:right="57"/>
              <w:jc w:val="center"/>
            </w:pPr>
            <w:r>
              <w:t>500</w:t>
            </w:r>
          </w:p>
        </w:tc>
      </w:tr>
      <w:tr w14:paraId="3D493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4678F7F4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317689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Mão</w:t>
            </w:r>
          </w:p>
        </w:tc>
        <w:tc>
          <w:tcPr>
            <w:tcW w:w="1924" w:type="dxa"/>
            <w:vAlign w:val="center"/>
          </w:tcPr>
          <w:p w14:paraId="00B45DF3">
            <w:pPr>
              <w:pStyle w:val="23"/>
              <w:spacing w:after="40"/>
              <w:ind w:left="57" w:right="57"/>
              <w:jc w:val="center"/>
            </w:pPr>
            <w:r>
              <w:t>600</w:t>
            </w:r>
          </w:p>
        </w:tc>
      </w:tr>
      <w:tr w14:paraId="1C608F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BE409A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1E7A08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Mão + Punho Idade Óssea</w:t>
            </w:r>
          </w:p>
        </w:tc>
        <w:tc>
          <w:tcPr>
            <w:tcW w:w="1924" w:type="dxa"/>
            <w:vAlign w:val="center"/>
          </w:tcPr>
          <w:p w14:paraId="1AEC82FA">
            <w:pPr>
              <w:pStyle w:val="23"/>
              <w:spacing w:after="40"/>
              <w:ind w:left="57" w:right="57"/>
              <w:jc w:val="center"/>
            </w:pPr>
            <w:r>
              <w:t>100</w:t>
            </w:r>
          </w:p>
        </w:tc>
      </w:tr>
      <w:tr w14:paraId="666371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20018361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99542D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Mastóide</w:t>
            </w:r>
          </w:p>
        </w:tc>
        <w:tc>
          <w:tcPr>
            <w:tcW w:w="1924" w:type="dxa"/>
            <w:vAlign w:val="center"/>
          </w:tcPr>
          <w:p w14:paraId="0EFC1150">
            <w:pPr>
              <w:pStyle w:val="23"/>
              <w:spacing w:after="40"/>
              <w:ind w:left="57" w:right="57"/>
              <w:jc w:val="center"/>
            </w:pPr>
            <w:r>
              <w:t>100</w:t>
            </w:r>
          </w:p>
        </w:tc>
      </w:tr>
      <w:tr w14:paraId="12FA5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1CDB85F3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50D79AE9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Maxilar - Temporomandibular</w:t>
            </w:r>
          </w:p>
        </w:tc>
        <w:tc>
          <w:tcPr>
            <w:tcW w:w="1924" w:type="dxa"/>
            <w:vAlign w:val="center"/>
          </w:tcPr>
          <w:p w14:paraId="1F6EA35C">
            <w:pPr>
              <w:pStyle w:val="23"/>
              <w:spacing w:after="40"/>
              <w:ind w:left="57" w:right="57"/>
              <w:jc w:val="center"/>
            </w:pPr>
            <w:r>
              <w:t>40</w:t>
            </w:r>
          </w:p>
        </w:tc>
      </w:tr>
      <w:tr w14:paraId="25A438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E8A85CB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AF85E0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Ombro</w:t>
            </w:r>
          </w:p>
        </w:tc>
        <w:tc>
          <w:tcPr>
            <w:tcW w:w="1924" w:type="dxa"/>
            <w:vAlign w:val="center"/>
          </w:tcPr>
          <w:p w14:paraId="68F31E72">
            <w:pPr>
              <w:pStyle w:val="23"/>
              <w:spacing w:after="40"/>
              <w:ind w:left="57" w:right="57"/>
              <w:jc w:val="center"/>
            </w:pPr>
            <w:r>
              <w:t>375</w:t>
            </w:r>
          </w:p>
        </w:tc>
      </w:tr>
      <w:tr w14:paraId="4C4C92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71EBF46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03B1EC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Ossos da Face – Raio-x de Face</w:t>
            </w:r>
          </w:p>
        </w:tc>
        <w:tc>
          <w:tcPr>
            <w:tcW w:w="1924" w:type="dxa"/>
            <w:vAlign w:val="center"/>
          </w:tcPr>
          <w:p w14:paraId="79D6EC4B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6FFF72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7A45DD8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F866FE1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Pé</w:t>
            </w:r>
          </w:p>
        </w:tc>
        <w:tc>
          <w:tcPr>
            <w:tcW w:w="1924" w:type="dxa"/>
            <w:vAlign w:val="center"/>
          </w:tcPr>
          <w:p w14:paraId="0224C606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16992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272DAA1F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F14F2E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Perna</w:t>
            </w:r>
          </w:p>
        </w:tc>
        <w:tc>
          <w:tcPr>
            <w:tcW w:w="1924" w:type="dxa"/>
            <w:vAlign w:val="center"/>
          </w:tcPr>
          <w:p w14:paraId="5B7990F8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473D16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A7E11D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7939C79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Punho</w:t>
            </w:r>
          </w:p>
        </w:tc>
        <w:tc>
          <w:tcPr>
            <w:tcW w:w="1924" w:type="dxa"/>
            <w:vAlign w:val="center"/>
          </w:tcPr>
          <w:p w14:paraId="31348178">
            <w:pPr>
              <w:pStyle w:val="23"/>
              <w:spacing w:after="40"/>
              <w:ind w:left="57" w:right="57"/>
              <w:jc w:val="center"/>
            </w:pPr>
            <w:r>
              <w:t>450</w:t>
            </w:r>
          </w:p>
        </w:tc>
      </w:tr>
      <w:tr w14:paraId="2C8D0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04681D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4E60F6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Sacro-Coccix</w:t>
            </w:r>
          </w:p>
        </w:tc>
        <w:tc>
          <w:tcPr>
            <w:tcW w:w="1924" w:type="dxa"/>
            <w:vAlign w:val="center"/>
          </w:tcPr>
          <w:p w14:paraId="039C5971">
            <w:pPr>
              <w:pStyle w:val="23"/>
              <w:spacing w:after="40"/>
              <w:ind w:left="57" w:right="57"/>
              <w:jc w:val="center"/>
            </w:pPr>
            <w:r>
              <w:t>75</w:t>
            </w:r>
          </w:p>
        </w:tc>
      </w:tr>
      <w:tr w14:paraId="2158B7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59B1E54F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66FBAB3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Seios da Face</w:t>
            </w:r>
          </w:p>
        </w:tc>
        <w:tc>
          <w:tcPr>
            <w:tcW w:w="1924" w:type="dxa"/>
            <w:vAlign w:val="center"/>
          </w:tcPr>
          <w:p w14:paraId="5F0225FD">
            <w:pPr>
              <w:pStyle w:val="23"/>
              <w:spacing w:after="40"/>
              <w:ind w:left="57" w:right="57"/>
              <w:jc w:val="center"/>
            </w:pPr>
            <w:r>
              <w:t>400</w:t>
            </w:r>
          </w:p>
        </w:tc>
      </w:tr>
      <w:tr w14:paraId="569BB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78AD1ACF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3F5F08F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Sela Tursica</w:t>
            </w:r>
          </w:p>
        </w:tc>
        <w:tc>
          <w:tcPr>
            <w:tcW w:w="1924" w:type="dxa"/>
            <w:vAlign w:val="center"/>
          </w:tcPr>
          <w:p w14:paraId="16382F57">
            <w:pPr>
              <w:pStyle w:val="23"/>
              <w:spacing w:after="40"/>
              <w:ind w:left="57" w:right="57"/>
              <w:jc w:val="center"/>
            </w:pPr>
            <w:r>
              <w:t>30</w:t>
            </w:r>
          </w:p>
        </w:tc>
      </w:tr>
      <w:tr w14:paraId="2D9E4A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26E99938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4B19E08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Tórax PA+P</w:t>
            </w:r>
          </w:p>
        </w:tc>
        <w:tc>
          <w:tcPr>
            <w:tcW w:w="1924" w:type="dxa"/>
            <w:vAlign w:val="center"/>
          </w:tcPr>
          <w:p w14:paraId="25DAB86E">
            <w:pPr>
              <w:pStyle w:val="23"/>
              <w:spacing w:after="40"/>
              <w:ind w:left="57" w:right="57"/>
              <w:jc w:val="center"/>
            </w:pPr>
            <w:r>
              <w:t>900</w:t>
            </w:r>
          </w:p>
        </w:tc>
      </w:tr>
      <w:tr w14:paraId="77EC23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00CF048B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185C500D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Trânsito Intestino</w:t>
            </w:r>
          </w:p>
        </w:tc>
        <w:tc>
          <w:tcPr>
            <w:tcW w:w="1924" w:type="dxa"/>
            <w:vAlign w:val="center"/>
          </w:tcPr>
          <w:p w14:paraId="710B69CB">
            <w:pPr>
              <w:pStyle w:val="23"/>
              <w:spacing w:after="40"/>
              <w:ind w:left="57" w:right="57"/>
              <w:jc w:val="center"/>
            </w:pPr>
            <w:r>
              <w:t>75</w:t>
            </w:r>
          </w:p>
        </w:tc>
      </w:tr>
      <w:tr w14:paraId="0DDB80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457D4E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110FC5F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Urografia</w:t>
            </w:r>
          </w:p>
        </w:tc>
        <w:tc>
          <w:tcPr>
            <w:tcW w:w="1924" w:type="dxa"/>
            <w:vAlign w:val="center"/>
          </w:tcPr>
          <w:p w14:paraId="27ED177D">
            <w:pPr>
              <w:pStyle w:val="23"/>
              <w:spacing w:after="40"/>
              <w:ind w:left="57" w:right="57"/>
              <w:jc w:val="center"/>
            </w:pPr>
            <w:r>
              <w:t>150</w:t>
            </w:r>
          </w:p>
        </w:tc>
      </w:tr>
      <w:tr w14:paraId="6D2529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2078A410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65A3EC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Tórax PA</w:t>
            </w:r>
          </w:p>
        </w:tc>
        <w:tc>
          <w:tcPr>
            <w:tcW w:w="1924" w:type="dxa"/>
            <w:vAlign w:val="center"/>
          </w:tcPr>
          <w:p w14:paraId="4E044036">
            <w:pPr>
              <w:pStyle w:val="23"/>
              <w:spacing w:after="40"/>
              <w:ind w:left="57" w:right="57"/>
              <w:jc w:val="center"/>
            </w:pPr>
            <w:r>
              <w:t>500</w:t>
            </w:r>
          </w:p>
        </w:tc>
      </w:tr>
      <w:tr w14:paraId="15F79C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1821FFC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73A038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Mandíbula</w:t>
            </w:r>
          </w:p>
        </w:tc>
        <w:tc>
          <w:tcPr>
            <w:tcW w:w="1924" w:type="dxa"/>
            <w:vAlign w:val="center"/>
          </w:tcPr>
          <w:p w14:paraId="60AF2406">
            <w:pPr>
              <w:pStyle w:val="23"/>
              <w:spacing w:after="40"/>
              <w:ind w:left="57" w:right="57"/>
              <w:jc w:val="center"/>
            </w:pPr>
            <w:r>
              <w:t>30</w:t>
            </w:r>
          </w:p>
        </w:tc>
      </w:tr>
      <w:tr w14:paraId="0A705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4578FD12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A6CA05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Escapulo Umeral - Ombro</w:t>
            </w:r>
          </w:p>
        </w:tc>
        <w:tc>
          <w:tcPr>
            <w:tcW w:w="1924" w:type="dxa"/>
            <w:vAlign w:val="center"/>
          </w:tcPr>
          <w:p w14:paraId="5072780C">
            <w:pPr>
              <w:pStyle w:val="23"/>
              <w:spacing w:after="40"/>
              <w:ind w:left="57" w:right="57"/>
              <w:jc w:val="center"/>
            </w:pPr>
            <w:r>
              <w:t>375</w:t>
            </w:r>
          </w:p>
        </w:tc>
      </w:tr>
      <w:tr w14:paraId="7D00E4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3B5D71ED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74EB96A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Tornozelo (Articulação Tíbio Társica)</w:t>
            </w:r>
          </w:p>
        </w:tc>
        <w:tc>
          <w:tcPr>
            <w:tcW w:w="1924" w:type="dxa"/>
            <w:vAlign w:val="center"/>
          </w:tcPr>
          <w:p w14:paraId="3910C7B9">
            <w:pPr>
              <w:pStyle w:val="23"/>
              <w:spacing w:after="40"/>
              <w:ind w:left="57" w:right="57"/>
              <w:jc w:val="center"/>
            </w:pPr>
            <w:r>
              <w:t>200</w:t>
            </w:r>
          </w:p>
        </w:tc>
      </w:tr>
      <w:tr w14:paraId="120DA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64867937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2AAD43E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Panorâmica de Membro Inferior</w:t>
            </w:r>
          </w:p>
        </w:tc>
        <w:tc>
          <w:tcPr>
            <w:tcW w:w="1924" w:type="dxa"/>
            <w:vAlign w:val="center"/>
          </w:tcPr>
          <w:p w14:paraId="2F1376D1">
            <w:pPr>
              <w:pStyle w:val="23"/>
              <w:spacing w:after="40"/>
              <w:ind w:left="57" w:right="57"/>
              <w:jc w:val="center"/>
            </w:pPr>
            <w:r>
              <w:t>120</w:t>
            </w:r>
          </w:p>
        </w:tc>
      </w:tr>
      <w:tr w14:paraId="6C1D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</w:trPr>
        <w:tc>
          <w:tcPr>
            <w:tcW w:w="3181" w:type="dxa"/>
            <w:vMerge w:val="continue"/>
          </w:tcPr>
          <w:p w14:paraId="71CA7B14">
            <w:pPr>
              <w:spacing w:after="40" w:line="240" w:lineRule="auto"/>
              <w:ind w:left="57" w:right="57"/>
              <w:jc w:val="both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3B2E185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Sacro Ilíacas</w:t>
            </w:r>
          </w:p>
        </w:tc>
        <w:tc>
          <w:tcPr>
            <w:tcW w:w="1924" w:type="dxa"/>
            <w:vAlign w:val="center"/>
          </w:tcPr>
          <w:p w14:paraId="32B9FB2F">
            <w:pPr>
              <w:pStyle w:val="23"/>
              <w:spacing w:after="40"/>
              <w:ind w:left="57" w:right="57"/>
              <w:jc w:val="center"/>
            </w:pPr>
            <w:r>
              <w:t>100</w:t>
            </w:r>
          </w:p>
        </w:tc>
      </w:tr>
      <w:tr w14:paraId="4A32E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3BD31975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Radiografia Geral</w:t>
            </w:r>
          </w:p>
        </w:tc>
        <w:tc>
          <w:tcPr>
            <w:tcW w:w="1924" w:type="dxa"/>
          </w:tcPr>
          <w:p w14:paraId="1D36136A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13.275</w:t>
            </w:r>
          </w:p>
        </w:tc>
      </w:tr>
      <w:tr w14:paraId="26F8D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7F3BECD1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IV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288A3EDE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5B2EABCD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3AD7F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Align w:val="center"/>
          </w:tcPr>
          <w:p w14:paraId="16289B5B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Desintometria Óssea</w:t>
            </w:r>
          </w:p>
        </w:tc>
        <w:tc>
          <w:tcPr>
            <w:tcW w:w="4440" w:type="dxa"/>
            <w:vAlign w:val="center"/>
          </w:tcPr>
          <w:p w14:paraId="701D690F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Desintometria Óssea</w:t>
            </w:r>
          </w:p>
        </w:tc>
        <w:tc>
          <w:tcPr>
            <w:tcW w:w="1924" w:type="dxa"/>
            <w:vAlign w:val="center"/>
          </w:tcPr>
          <w:p w14:paraId="420B14A0">
            <w:pPr>
              <w:pStyle w:val="23"/>
              <w:spacing w:after="40"/>
              <w:ind w:left="57" w:right="57"/>
              <w:jc w:val="center"/>
            </w:pPr>
            <w:r>
              <w:t>360</w:t>
            </w:r>
          </w:p>
        </w:tc>
      </w:tr>
      <w:tr w14:paraId="1464B9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281F49A8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Desintometria Óssea</w:t>
            </w:r>
          </w:p>
        </w:tc>
        <w:tc>
          <w:tcPr>
            <w:tcW w:w="1924" w:type="dxa"/>
          </w:tcPr>
          <w:p w14:paraId="2FBB5489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360</w:t>
            </w:r>
          </w:p>
        </w:tc>
      </w:tr>
      <w:tr w14:paraId="4D8EB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41E66C7B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V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2BFB2508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1969FD2A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1537EE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Align w:val="center"/>
          </w:tcPr>
          <w:p w14:paraId="564A1A6F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Mamografia</w:t>
            </w:r>
          </w:p>
        </w:tc>
        <w:tc>
          <w:tcPr>
            <w:tcW w:w="4440" w:type="dxa"/>
            <w:vAlign w:val="center"/>
          </w:tcPr>
          <w:p w14:paraId="5EF763F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left="57" w:right="57"/>
            </w:pPr>
            <w:r>
              <w:t>Mamografia</w:t>
            </w:r>
          </w:p>
        </w:tc>
        <w:tc>
          <w:tcPr>
            <w:tcW w:w="1924" w:type="dxa"/>
            <w:vAlign w:val="center"/>
          </w:tcPr>
          <w:p w14:paraId="26202358">
            <w:pPr>
              <w:pStyle w:val="23"/>
              <w:spacing w:after="40"/>
              <w:ind w:left="57" w:right="57"/>
              <w:jc w:val="center"/>
            </w:pPr>
            <w:r>
              <w:t>1.500</w:t>
            </w:r>
          </w:p>
        </w:tc>
      </w:tr>
      <w:tr w14:paraId="475D5F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5C03F29C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Mamografia</w:t>
            </w:r>
          </w:p>
        </w:tc>
        <w:tc>
          <w:tcPr>
            <w:tcW w:w="1924" w:type="dxa"/>
          </w:tcPr>
          <w:p w14:paraId="65E226B2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1.500</w:t>
            </w:r>
          </w:p>
        </w:tc>
      </w:tr>
      <w:tr w14:paraId="5CA9F9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6788F9D7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VI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7709B721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6793C345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571A3D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restart"/>
            <w:vAlign w:val="center"/>
          </w:tcPr>
          <w:p w14:paraId="7DE850D1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Ressonância Magnética Geral</w:t>
            </w:r>
          </w:p>
        </w:tc>
        <w:tc>
          <w:tcPr>
            <w:tcW w:w="4440" w:type="dxa"/>
            <w:vAlign w:val="center"/>
          </w:tcPr>
          <w:p w14:paraId="2D33CF0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right="57"/>
            </w:pPr>
            <w:r>
              <w:t>Ressonância Magnética com contraste</w:t>
            </w:r>
          </w:p>
        </w:tc>
        <w:tc>
          <w:tcPr>
            <w:tcW w:w="1924" w:type="dxa"/>
            <w:vAlign w:val="center"/>
          </w:tcPr>
          <w:p w14:paraId="4C7CCADC">
            <w:pPr>
              <w:pStyle w:val="23"/>
              <w:spacing w:after="40"/>
              <w:ind w:left="57" w:right="57"/>
              <w:jc w:val="center"/>
            </w:pPr>
            <w:r>
              <w:t>240</w:t>
            </w:r>
          </w:p>
        </w:tc>
      </w:tr>
      <w:tr w14:paraId="30D052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923DEF2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  <w:vAlign w:val="center"/>
          </w:tcPr>
          <w:p w14:paraId="04741E6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  <w:spacing w:after="40"/>
              <w:ind w:right="57"/>
            </w:pPr>
            <w:r>
              <w:t>Ressonância Magnética sem contraste</w:t>
            </w:r>
          </w:p>
        </w:tc>
        <w:tc>
          <w:tcPr>
            <w:tcW w:w="1924" w:type="dxa"/>
            <w:vAlign w:val="center"/>
          </w:tcPr>
          <w:p w14:paraId="361A4602">
            <w:pPr>
              <w:pStyle w:val="23"/>
              <w:spacing w:after="40"/>
              <w:ind w:left="57" w:right="57"/>
              <w:jc w:val="center"/>
            </w:pPr>
            <w:r>
              <w:t>240</w:t>
            </w:r>
          </w:p>
        </w:tc>
      </w:tr>
      <w:tr w14:paraId="7B071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4169FE4C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Ressonância Magnética Geral</w:t>
            </w:r>
          </w:p>
        </w:tc>
        <w:tc>
          <w:tcPr>
            <w:tcW w:w="1924" w:type="dxa"/>
          </w:tcPr>
          <w:p w14:paraId="6945F9DD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480</w:t>
            </w:r>
          </w:p>
        </w:tc>
      </w:tr>
      <w:tr w14:paraId="2CD1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shd w:val="clear" w:color="auto" w:fill="D8D8D8" w:themeFill="background1" w:themeFillShade="D9"/>
            <w:vAlign w:val="center"/>
          </w:tcPr>
          <w:p w14:paraId="7FB45FCD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Grupo VII</w:t>
            </w:r>
          </w:p>
        </w:tc>
        <w:tc>
          <w:tcPr>
            <w:tcW w:w="4440" w:type="dxa"/>
            <w:shd w:val="clear" w:color="auto" w:fill="D8D8D8" w:themeFill="background1" w:themeFillShade="D9"/>
            <w:vAlign w:val="center"/>
          </w:tcPr>
          <w:p w14:paraId="64A790A5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Tipo de Exame</w:t>
            </w:r>
          </w:p>
        </w:tc>
        <w:tc>
          <w:tcPr>
            <w:tcW w:w="1924" w:type="dxa"/>
            <w:shd w:val="clear" w:color="auto" w:fill="D8D8D8" w:themeFill="background1" w:themeFillShade="D9"/>
            <w:vAlign w:val="center"/>
          </w:tcPr>
          <w:p w14:paraId="63F2E366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Quantidade Anual Estimada</w:t>
            </w:r>
          </w:p>
        </w:tc>
      </w:tr>
      <w:tr w14:paraId="20FE12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restart"/>
            <w:vAlign w:val="center"/>
          </w:tcPr>
          <w:p w14:paraId="4D431703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Exames de Tomografia Computadorizada Geral</w:t>
            </w:r>
          </w:p>
        </w:tc>
        <w:tc>
          <w:tcPr>
            <w:tcW w:w="4440" w:type="dxa"/>
          </w:tcPr>
          <w:p w14:paraId="419A1F4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Abdômen Superior com contraste</w:t>
            </w:r>
          </w:p>
        </w:tc>
        <w:tc>
          <w:tcPr>
            <w:tcW w:w="1924" w:type="dxa"/>
            <w:vAlign w:val="center"/>
          </w:tcPr>
          <w:p w14:paraId="7033C518">
            <w:pPr>
              <w:pStyle w:val="23"/>
              <w:jc w:val="center"/>
            </w:pPr>
            <w:r>
              <w:t>150</w:t>
            </w:r>
          </w:p>
        </w:tc>
      </w:tr>
      <w:tr w14:paraId="5107C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07BD0D8D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094D6F7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Abdômen Superior sem contraste</w:t>
            </w:r>
          </w:p>
        </w:tc>
        <w:tc>
          <w:tcPr>
            <w:tcW w:w="1924" w:type="dxa"/>
            <w:vAlign w:val="center"/>
          </w:tcPr>
          <w:p w14:paraId="466C736F">
            <w:pPr>
              <w:pStyle w:val="23"/>
              <w:jc w:val="center"/>
            </w:pPr>
            <w:r>
              <w:t>80</w:t>
            </w:r>
          </w:p>
        </w:tc>
      </w:tr>
      <w:tr w14:paraId="6A633E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42B6B940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4A5ADB73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Pelve com contraste</w:t>
            </w:r>
          </w:p>
        </w:tc>
        <w:tc>
          <w:tcPr>
            <w:tcW w:w="1924" w:type="dxa"/>
            <w:vAlign w:val="center"/>
          </w:tcPr>
          <w:p w14:paraId="4947C16A">
            <w:pPr>
              <w:pStyle w:val="23"/>
              <w:jc w:val="center"/>
            </w:pPr>
            <w:r>
              <w:t>120</w:t>
            </w:r>
          </w:p>
        </w:tc>
      </w:tr>
      <w:tr w14:paraId="6574C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C4D7072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5937F93B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Tórax – Arcos Costais com contraste</w:t>
            </w:r>
          </w:p>
        </w:tc>
        <w:tc>
          <w:tcPr>
            <w:tcW w:w="1924" w:type="dxa"/>
            <w:vAlign w:val="center"/>
          </w:tcPr>
          <w:p w14:paraId="796A6EC2">
            <w:pPr>
              <w:pStyle w:val="23"/>
              <w:jc w:val="center"/>
            </w:pPr>
            <w:r>
              <w:t>190</w:t>
            </w:r>
          </w:p>
        </w:tc>
      </w:tr>
      <w:tr w14:paraId="6533F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53567CC4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B01A909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Tórax – Arcos Costais sem contraste</w:t>
            </w:r>
          </w:p>
        </w:tc>
        <w:tc>
          <w:tcPr>
            <w:tcW w:w="1924" w:type="dxa"/>
            <w:vAlign w:val="center"/>
          </w:tcPr>
          <w:p w14:paraId="269B6812">
            <w:pPr>
              <w:pStyle w:val="23"/>
              <w:jc w:val="center"/>
            </w:pPr>
            <w:r>
              <w:t>190</w:t>
            </w:r>
          </w:p>
        </w:tc>
      </w:tr>
      <w:tr w14:paraId="285345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1259F5CE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E5DF52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Coluna Lombar com contraste</w:t>
            </w:r>
          </w:p>
        </w:tc>
        <w:tc>
          <w:tcPr>
            <w:tcW w:w="1924" w:type="dxa"/>
            <w:vAlign w:val="center"/>
          </w:tcPr>
          <w:p w14:paraId="3E9F7623">
            <w:pPr>
              <w:pStyle w:val="23"/>
              <w:jc w:val="center"/>
            </w:pPr>
            <w:r>
              <w:t>45</w:t>
            </w:r>
          </w:p>
        </w:tc>
      </w:tr>
      <w:tr w14:paraId="0A546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3C9AF399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2295649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Coluna Lombar sem contraste</w:t>
            </w:r>
          </w:p>
        </w:tc>
        <w:tc>
          <w:tcPr>
            <w:tcW w:w="1924" w:type="dxa"/>
            <w:vAlign w:val="center"/>
          </w:tcPr>
          <w:p w14:paraId="1BF91316">
            <w:pPr>
              <w:pStyle w:val="23"/>
              <w:jc w:val="center"/>
            </w:pPr>
            <w:r>
              <w:t>45</w:t>
            </w:r>
          </w:p>
        </w:tc>
      </w:tr>
      <w:tr w14:paraId="71D6A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64AE33D0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9DC84A9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Coluna Cervical com contraste</w:t>
            </w:r>
          </w:p>
        </w:tc>
        <w:tc>
          <w:tcPr>
            <w:tcW w:w="1924" w:type="dxa"/>
            <w:vAlign w:val="center"/>
          </w:tcPr>
          <w:p w14:paraId="23F95C77">
            <w:pPr>
              <w:pStyle w:val="23"/>
              <w:jc w:val="center"/>
            </w:pPr>
            <w:r>
              <w:t>30</w:t>
            </w:r>
          </w:p>
        </w:tc>
      </w:tr>
      <w:tr w14:paraId="58810F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058F00DE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488CA917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Coluna Cervical sem contraste</w:t>
            </w:r>
          </w:p>
        </w:tc>
        <w:tc>
          <w:tcPr>
            <w:tcW w:w="1924" w:type="dxa"/>
            <w:vAlign w:val="center"/>
          </w:tcPr>
          <w:p w14:paraId="6D6DDEA3">
            <w:pPr>
              <w:pStyle w:val="23"/>
              <w:jc w:val="center"/>
            </w:pPr>
            <w:r>
              <w:t>30</w:t>
            </w:r>
          </w:p>
        </w:tc>
      </w:tr>
      <w:tr w14:paraId="11BC0B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5FF91F48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477F2EFE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Pescoço com contraste</w:t>
            </w:r>
          </w:p>
        </w:tc>
        <w:tc>
          <w:tcPr>
            <w:tcW w:w="1924" w:type="dxa"/>
            <w:vAlign w:val="center"/>
          </w:tcPr>
          <w:p w14:paraId="406D5FDA">
            <w:pPr>
              <w:pStyle w:val="23"/>
              <w:jc w:val="center"/>
            </w:pPr>
            <w:r>
              <w:t>70</w:t>
            </w:r>
          </w:p>
        </w:tc>
      </w:tr>
      <w:tr w14:paraId="716CF7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957B4F6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7FB1BF88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Pescoço sem contraste</w:t>
            </w:r>
          </w:p>
        </w:tc>
        <w:tc>
          <w:tcPr>
            <w:tcW w:w="1924" w:type="dxa"/>
            <w:vAlign w:val="center"/>
          </w:tcPr>
          <w:p w14:paraId="52304CF6">
            <w:pPr>
              <w:pStyle w:val="23"/>
              <w:jc w:val="center"/>
            </w:pPr>
            <w:r>
              <w:t>70</w:t>
            </w:r>
          </w:p>
        </w:tc>
      </w:tr>
      <w:tr w14:paraId="0BAA23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A650943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5DFA580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Articulação com contraste</w:t>
            </w:r>
          </w:p>
        </w:tc>
        <w:tc>
          <w:tcPr>
            <w:tcW w:w="1924" w:type="dxa"/>
            <w:vAlign w:val="center"/>
          </w:tcPr>
          <w:p w14:paraId="4421C95E">
            <w:pPr>
              <w:pStyle w:val="23"/>
              <w:jc w:val="center"/>
            </w:pPr>
            <w:r>
              <w:t>70</w:t>
            </w:r>
          </w:p>
        </w:tc>
      </w:tr>
      <w:tr w14:paraId="75D3F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6F2552BC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4E1794F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Articulação sem contraste</w:t>
            </w:r>
          </w:p>
        </w:tc>
        <w:tc>
          <w:tcPr>
            <w:tcW w:w="1924" w:type="dxa"/>
            <w:vAlign w:val="center"/>
          </w:tcPr>
          <w:p w14:paraId="24679470">
            <w:pPr>
              <w:pStyle w:val="23"/>
              <w:jc w:val="center"/>
            </w:pPr>
            <w:r>
              <w:t>70</w:t>
            </w:r>
          </w:p>
        </w:tc>
      </w:tr>
      <w:tr w14:paraId="4E3EF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1AF0EA63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56FF4835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Crânio com contraste</w:t>
            </w:r>
          </w:p>
        </w:tc>
        <w:tc>
          <w:tcPr>
            <w:tcW w:w="1924" w:type="dxa"/>
            <w:vAlign w:val="center"/>
          </w:tcPr>
          <w:p w14:paraId="5A5F9E48">
            <w:pPr>
              <w:pStyle w:val="23"/>
              <w:jc w:val="center"/>
            </w:pPr>
            <w:r>
              <w:t>150</w:t>
            </w:r>
          </w:p>
        </w:tc>
      </w:tr>
      <w:tr w14:paraId="3BA409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307451EC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7EFF5073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Crânio sem contraste</w:t>
            </w:r>
          </w:p>
        </w:tc>
        <w:tc>
          <w:tcPr>
            <w:tcW w:w="1924" w:type="dxa"/>
            <w:vAlign w:val="center"/>
          </w:tcPr>
          <w:p w14:paraId="1923AADD">
            <w:pPr>
              <w:pStyle w:val="23"/>
              <w:jc w:val="center"/>
            </w:pPr>
            <w:r>
              <w:t>150</w:t>
            </w:r>
          </w:p>
        </w:tc>
      </w:tr>
      <w:tr w14:paraId="6A97E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51352D0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19611FFD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Órbitas sem contraste</w:t>
            </w:r>
          </w:p>
        </w:tc>
        <w:tc>
          <w:tcPr>
            <w:tcW w:w="1924" w:type="dxa"/>
            <w:vAlign w:val="center"/>
          </w:tcPr>
          <w:p w14:paraId="3BB2C813">
            <w:pPr>
              <w:pStyle w:val="23"/>
              <w:jc w:val="center"/>
            </w:pPr>
            <w:r>
              <w:t>10</w:t>
            </w:r>
          </w:p>
        </w:tc>
      </w:tr>
      <w:tr w14:paraId="026E9A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1C011459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40884F7A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Face - Seios da Face - Temporomandibular com contraste</w:t>
            </w:r>
          </w:p>
        </w:tc>
        <w:tc>
          <w:tcPr>
            <w:tcW w:w="1924" w:type="dxa"/>
            <w:vAlign w:val="center"/>
          </w:tcPr>
          <w:p w14:paraId="12BF419D">
            <w:pPr>
              <w:pStyle w:val="23"/>
              <w:jc w:val="center"/>
            </w:pPr>
            <w:r>
              <w:t>30</w:t>
            </w:r>
          </w:p>
        </w:tc>
      </w:tr>
      <w:tr w14:paraId="37B7E0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21211834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79A2EBF2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Face - Seios da Face – Temporomandibular sem contraste</w:t>
            </w:r>
          </w:p>
        </w:tc>
        <w:tc>
          <w:tcPr>
            <w:tcW w:w="1924" w:type="dxa"/>
            <w:vAlign w:val="center"/>
          </w:tcPr>
          <w:p w14:paraId="14F22ECE">
            <w:pPr>
              <w:pStyle w:val="23"/>
              <w:jc w:val="center"/>
            </w:pPr>
            <w:r>
              <w:t>30</w:t>
            </w:r>
          </w:p>
        </w:tc>
      </w:tr>
      <w:tr w14:paraId="499DC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6D324940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21E8182A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Mastóides - Ouvidos – Ossos Temporais com contraste</w:t>
            </w:r>
          </w:p>
        </w:tc>
        <w:tc>
          <w:tcPr>
            <w:tcW w:w="1924" w:type="dxa"/>
            <w:vAlign w:val="center"/>
          </w:tcPr>
          <w:p w14:paraId="07D2A502">
            <w:pPr>
              <w:pStyle w:val="23"/>
              <w:jc w:val="center"/>
            </w:pPr>
            <w:r>
              <w:t>45</w:t>
            </w:r>
          </w:p>
        </w:tc>
      </w:tr>
      <w:tr w14:paraId="097177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81" w:type="dxa"/>
            <w:vMerge w:val="continue"/>
            <w:vAlign w:val="center"/>
          </w:tcPr>
          <w:p w14:paraId="75CE433C">
            <w:pPr>
              <w:spacing w:after="40" w:line="240" w:lineRule="auto"/>
              <w:ind w:left="57" w:right="57"/>
              <w:rPr>
                <w:rFonts w:cs="Arial"/>
                <w:sz w:val="22"/>
              </w:rPr>
            </w:pPr>
          </w:p>
        </w:tc>
        <w:tc>
          <w:tcPr>
            <w:tcW w:w="4440" w:type="dxa"/>
          </w:tcPr>
          <w:p w14:paraId="13748246">
            <w:pPr>
              <w:pStyle w:val="23"/>
              <w:tabs>
                <w:tab w:val="left" w:pos="1380"/>
                <w:tab w:val="left" w:pos="1824"/>
                <w:tab w:val="left" w:pos="2774"/>
                <w:tab w:val="left" w:pos="3218"/>
                <w:tab w:val="left" w:pos="3871"/>
                <w:tab w:val="left" w:pos="4512"/>
              </w:tabs>
            </w:pPr>
            <w:r>
              <w:t>Mastóides – Ouvidos – Ossos Temporais sem contraste</w:t>
            </w:r>
          </w:p>
        </w:tc>
        <w:tc>
          <w:tcPr>
            <w:tcW w:w="1924" w:type="dxa"/>
            <w:vAlign w:val="center"/>
          </w:tcPr>
          <w:p w14:paraId="38A88EC2">
            <w:pPr>
              <w:pStyle w:val="23"/>
              <w:jc w:val="center"/>
            </w:pPr>
            <w:r>
              <w:t>45</w:t>
            </w:r>
          </w:p>
        </w:tc>
      </w:tr>
      <w:tr w14:paraId="2C0C0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621" w:type="dxa"/>
            <w:gridSpan w:val="2"/>
          </w:tcPr>
          <w:p w14:paraId="6CF86E50">
            <w:pPr>
              <w:spacing w:after="40" w:line="240" w:lineRule="auto"/>
              <w:ind w:left="57" w:right="57"/>
              <w:jc w:val="both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Total de Exames de Tomografia Computadorizada Geral</w:t>
            </w:r>
          </w:p>
        </w:tc>
        <w:tc>
          <w:tcPr>
            <w:tcW w:w="1924" w:type="dxa"/>
          </w:tcPr>
          <w:p w14:paraId="224DCA0D">
            <w:pPr>
              <w:spacing w:after="40" w:line="240" w:lineRule="auto"/>
              <w:ind w:left="57" w:right="57"/>
              <w:jc w:val="center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1.620</w:t>
            </w:r>
          </w:p>
        </w:tc>
      </w:tr>
    </w:tbl>
    <w:p w14:paraId="1F841920">
      <w:pPr>
        <w:jc w:val="both"/>
        <w:rPr>
          <w:rFonts w:cs="Arial"/>
          <w:sz w:val="24"/>
          <w:szCs w:val="24"/>
        </w:rPr>
      </w:pPr>
    </w:p>
    <w:p w14:paraId="1FEE3DF3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1</w:t>
      </w:r>
      <w:r>
        <w:rPr>
          <w:rFonts w:cs="Arial"/>
          <w:sz w:val="24"/>
          <w:szCs w:val="24"/>
        </w:rPr>
        <w:t>.3. Os serviços serão executados sob demanda, mediante autorização e regulação do Serviço Autônomo Municipal de Saúde – SAMS.</w:t>
      </w:r>
    </w:p>
    <w:p w14:paraId="16F3B15D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1</w:t>
      </w:r>
      <w:r>
        <w:rPr>
          <w:rFonts w:cs="Arial"/>
          <w:sz w:val="24"/>
          <w:szCs w:val="24"/>
        </w:rPr>
        <w:t>.4. A contratação não gera obrigação de execução integral dos quantitativos estimados, sendo o pagamento realizado exclusivamente pelos exames efetivamente autorizados, realizados, comprovados e aceitos pela Administração.</w:t>
      </w:r>
    </w:p>
    <w:p w14:paraId="7B2AA059">
      <w:pPr>
        <w:spacing w:before="120" w:after="120"/>
        <w:jc w:val="both"/>
        <w:outlineLvl w:val="2"/>
        <w:rPr>
          <w:b/>
          <w:bCs/>
        </w:rPr>
      </w:pPr>
    </w:p>
    <w:p w14:paraId="22212FCC">
      <w:pPr>
        <w:keepNext w:val="0"/>
        <w:keepLines w:val="0"/>
        <w:pageBreakBefore w:val="0"/>
        <w:widowControl w:val="0"/>
        <w:tabs>
          <w:tab w:val="left" w:pos="368"/>
        </w:tabs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20" w:after="120"/>
        <w:textAlignment w:val="auto"/>
        <w:outlineLvl w:val="2"/>
        <w:rPr>
          <w:b/>
          <w:bCs/>
        </w:rPr>
      </w:pPr>
      <w:r>
        <w:rPr>
          <w:b/>
          <w:bCs/>
          <w:spacing w:val="-4"/>
        </w:rPr>
        <w:t xml:space="preserve">2. JUSTIFICATIVA </w:t>
      </w:r>
      <w:r>
        <w:rPr>
          <w:b/>
          <w:bCs/>
        </w:rPr>
        <w:t>DA</w:t>
      </w:r>
      <w:r>
        <w:rPr>
          <w:b/>
          <w:bCs/>
          <w:spacing w:val="-13"/>
        </w:rPr>
        <w:t xml:space="preserve"> </w:t>
      </w:r>
      <w:r>
        <w:rPr>
          <w:b/>
          <w:bCs/>
          <w:spacing w:val="-4"/>
        </w:rPr>
        <w:t>CONTRATAÇÃO</w:t>
      </w:r>
    </w:p>
    <w:p w14:paraId="0B834C92">
      <w:pPr>
        <w:jc w:val="both"/>
        <w:rPr>
          <w:rFonts w:cs="Arial"/>
          <w:sz w:val="24"/>
          <w:szCs w:val="24"/>
        </w:rPr>
      </w:pPr>
      <w:r>
        <w:rPr>
          <w:b w:val="0"/>
          <w:bCs w:val="0"/>
        </w:rPr>
        <w:t>2.1</w:t>
      </w:r>
      <w:r>
        <w:rPr>
          <w:bCs/>
        </w:rPr>
        <w:t xml:space="preserve"> </w:t>
      </w:r>
      <w:r>
        <w:rPr>
          <w:rFonts w:cs="Arial"/>
          <w:sz w:val="24"/>
          <w:szCs w:val="24"/>
        </w:rPr>
        <w:t>A contratação tem por finalidade assegurar acesso oportuno, equitativo e de qualidade aos exames de diagnóstico por imagem necessários aos usuários do SUS.</w:t>
      </w:r>
    </w:p>
    <w:p w14:paraId="11200196">
      <w:pPr>
        <w:jc w:val="both"/>
        <w:rPr>
          <w:rFonts w:cs="Arial"/>
          <w:sz w:val="24"/>
          <w:szCs w:val="24"/>
        </w:rPr>
      </w:pPr>
    </w:p>
    <w:p w14:paraId="76758B7F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2.2</w:t>
      </w:r>
      <w:r>
        <w:rPr>
          <w:rFonts w:cs="Arial"/>
          <w:sz w:val="24"/>
          <w:szCs w:val="24"/>
        </w:rPr>
        <w:t xml:space="preserve"> A realização dos exames é indispensável para:</w:t>
      </w:r>
    </w:p>
    <w:p w14:paraId="261D26D1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a) diagnóstico precoce e preciso;</w:t>
      </w:r>
    </w:p>
    <w:p w14:paraId="19ED3053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b) acompanhamento de doenças crônicas;</w:t>
      </w:r>
    </w:p>
    <w:p w14:paraId="217313AB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c) acompanhamento de pacientes em tratamento especializado;</w:t>
      </w:r>
    </w:p>
    <w:p w14:paraId="683B3E29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d) acompanhamento de pacientes submetidos à hemodiálise;</w:t>
      </w:r>
    </w:p>
    <w:p w14:paraId="7CB5799F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e) investigação diagnóstica;</w:t>
      </w:r>
    </w:p>
    <w:p w14:paraId="0EC14EAC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f) acompanhamento terapêutico;</w:t>
      </w:r>
    </w:p>
    <w:p w14:paraId="753DF1C1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g) atendimento das demandas da Atenção Primária;</w:t>
      </w:r>
    </w:p>
    <w:p w14:paraId="295B046A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h) atendimento das demandas da Atenção Especializada;</w:t>
      </w:r>
    </w:p>
    <w:p w14:paraId="75B39822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i) atendimento de situações de urgência e emergência;</w:t>
      </w:r>
    </w:p>
    <w:p w14:paraId="052CCA30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j) redução da demanda reprimida;</w:t>
      </w:r>
    </w:p>
    <w:p w14:paraId="47ADC2BB">
      <w:pPr>
        <w:ind w:left="72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k) continuidade do cuidado.</w:t>
      </w:r>
    </w:p>
    <w:p w14:paraId="3530F013">
      <w:pPr>
        <w:spacing w:before="120" w:after="120"/>
        <w:jc w:val="both"/>
        <w:rPr>
          <w:bCs/>
        </w:rPr>
      </w:pPr>
    </w:p>
    <w:p w14:paraId="1A64647A">
      <w:pPr>
        <w:widowControl/>
        <w:suppressAutoHyphens/>
        <w:autoSpaceDE/>
        <w:autoSpaceDN/>
        <w:spacing w:after="120"/>
        <w:jc w:val="both"/>
        <w:rPr>
          <w:rFonts w:hint="default" w:eastAsia="Times New Roman"/>
          <w:b/>
          <w:shd w:val="clear" w:color="auto" w:fill="FFFFFF"/>
          <w:lang w:val="pt-BR" w:eastAsia="ar-SA" w:bidi="ar-SA"/>
        </w:rPr>
      </w:pPr>
      <w:r>
        <w:rPr>
          <w:rFonts w:hint="default" w:eastAsia="Times New Roman"/>
          <w:b/>
          <w:shd w:val="clear" w:color="auto" w:fill="FFFFFF"/>
          <w:lang w:val="pt-BR" w:eastAsia="ar-SA" w:bidi="ar-SA"/>
        </w:rPr>
        <w:t>3</w:t>
      </w:r>
      <w:r>
        <w:rPr>
          <w:rFonts w:eastAsia="Times New Roman"/>
          <w:b/>
          <w:shd w:val="clear" w:color="auto" w:fill="FFFFFF"/>
          <w:lang w:val="pt-BR" w:eastAsia="ar-SA" w:bidi="ar-SA"/>
        </w:rPr>
        <w:t>. RE</w:t>
      </w:r>
      <w:r>
        <w:rPr>
          <w:rFonts w:hint="default" w:eastAsia="Times New Roman"/>
          <w:b/>
          <w:shd w:val="clear" w:color="auto" w:fill="FFFFFF"/>
          <w:lang w:val="pt-BR" w:eastAsia="ar-SA" w:bidi="ar-SA"/>
        </w:rPr>
        <w:t>GIME DE EXECUÇÃO</w:t>
      </w:r>
    </w:p>
    <w:p w14:paraId="043AB56B">
      <w:pPr>
        <w:widowControl/>
        <w:suppressAutoHyphens/>
        <w:autoSpaceDE/>
        <w:autoSpaceDN/>
        <w:spacing w:after="120"/>
        <w:jc w:val="both"/>
        <w:rPr>
          <w:rFonts w:eastAsia="Times New Roman"/>
          <w:shd w:val="clear" w:color="auto" w:fill="FFFFFF"/>
          <w:lang w:val="pt-BR" w:eastAsia="ar-SA" w:bidi="ar-SA"/>
        </w:rPr>
      </w:pPr>
      <w:r>
        <w:rPr>
          <w:rFonts w:hint="default" w:eastAsia="Times New Roman"/>
          <w:b/>
          <w:shd w:val="clear" w:color="auto" w:fill="FFFFFF"/>
          <w:lang w:val="pt-BR" w:eastAsia="ar-SA" w:bidi="ar-SA"/>
        </w:rPr>
        <w:t>3</w:t>
      </w:r>
      <w:r>
        <w:rPr>
          <w:rFonts w:eastAsia="Times New Roman"/>
          <w:b/>
          <w:shd w:val="clear" w:color="auto" w:fill="FFFFFF"/>
          <w:lang w:val="pt-BR" w:eastAsia="ar-SA" w:bidi="ar-SA"/>
        </w:rPr>
        <w:t>.1</w:t>
      </w:r>
      <w:r>
        <w:rPr>
          <w:rFonts w:eastAsia="Times New Roman"/>
          <w:shd w:val="clear" w:color="auto" w:fill="FFFFFF"/>
          <w:lang w:val="pt-BR" w:eastAsia="ar-SA" w:bidi="ar-SA"/>
        </w:rPr>
        <w:t xml:space="preserve"> </w:t>
      </w:r>
      <w:r>
        <w:rPr>
          <w:rFonts w:hint="default" w:eastAsia="Times New Roman"/>
          <w:shd w:val="clear" w:color="auto" w:fill="FFFFFF"/>
          <w:lang w:val="pt-BR" w:eastAsia="ar-SA" w:bidi="ar-SA"/>
        </w:rPr>
        <w:t>Aquisições futuras e parceladas</w:t>
      </w:r>
      <w:r>
        <w:rPr>
          <w:rFonts w:eastAsia="Times New Roman"/>
          <w:shd w:val="clear" w:color="auto" w:fill="FFFFFF"/>
          <w:lang w:val="pt-BR" w:eastAsia="ar-SA" w:bidi="ar-SA"/>
        </w:rPr>
        <w:t>.</w:t>
      </w:r>
    </w:p>
    <w:p w14:paraId="5B4E87D6">
      <w:pPr>
        <w:widowControl/>
        <w:suppressAutoHyphens/>
        <w:autoSpaceDE/>
        <w:autoSpaceDN/>
        <w:spacing w:before="240" w:after="120"/>
        <w:jc w:val="both"/>
        <w:rPr>
          <w:rFonts w:eastAsia="Times New Roman"/>
          <w:shd w:val="clear" w:color="auto" w:fill="FFFFFF"/>
          <w:lang w:val="pt-BR" w:eastAsia="ar-SA" w:bidi="ar-SA"/>
        </w:rPr>
      </w:pPr>
      <w:r>
        <w:rPr>
          <w:rFonts w:hint="default" w:eastAsia="Times New Roman"/>
          <w:b/>
          <w:shd w:val="clear" w:color="auto" w:fill="FFFFFF"/>
          <w:lang w:val="pt-BR" w:eastAsia="ar-SA" w:bidi="ar-SA"/>
        </w:rPr>
        <w:t>4</w:t>
      </w:r>
      <w:r>
        <w:rPr>
          <w:rFonts w:eastAsia="Times New Roman"/>
          <w:b/>
          <w:shd w:val="clear" w:color="auto" w:fill="FFFFFF"/>
          <w:lang w:val="pt-BR" w:eastAsia="ar-SA" w:bidi="ar-SA"/>
        </w:rPr>
        <w:t>. FORMA DE EXECUÇÃO DO OBJETO</w:t>
      </w:r>
    </w:p>
    <w:p w14:paraId="69B8BDED">
      <w:pPr>
        <w:jc w:val="both"/>
        <w:rPr>
          <w:rFonts w:cs="Arial"/>
          <w:sz w:val="24"/>
          <w:szCs w:val="24"/>
        </w:rPr>
      </w:pPr>
      <w:r>
        <w:rPr>
          <w:rFonts w:hint="default" w:eastAsia="Times New Roman"/>
          <w:b w:val="0"/>
          <w:bCs w:val="0"/>
          <w:shd w:val="clear" w:color="auto" w:fill="FFFFFF"/>
          <w:lang w:val="pt-BR" w:eastAsia="ar-SA" w:bidi="ar-SA"/>
        </w:rPr>
        <w:t>4</w:t>
      </w:r>
      <w:r>
        <w:rPr>
          <w:rFonts w:eastAsia="Times New Roman"/>
          <w:b w:val="0"/>
          <w:bCs w:val="0"/>
          <w:shd w:val="clear" w:color="auto" w:fill="FFFFFF"/>
          <w:lang w:val="pt-BR" w:eastAsia="ar-SA" w:bidi="ar-SA"/>
        </w:rPr>
        <w:t xml:space="preserve">.1 </w:t>
      </w:r>
      <w:r>
        <w:rPr>
          <w:rFonts w:cs="Arial"/>
          <w:sz w:val="24"/>
          <w:szCs w:val="24"/>
        </w:rPr>
        <w:t xml:space="preserve">A solicitação </w:t>
      </w:r>
      <w:bookmarkStart w:id="0" w:name="_GoBack"/>
      <w:bookmarkEnd w:id="0"/>
      <w:r>
        <w:rPr>
          <w:rFonts w:cs="Arial"/>
          <w:sz w:val="24"/>
          <w:szCs w:val="24"/>
        </w:rPr>
        <w:t>dos exames será realizada pelos profissionais da rede SUS e encaminhada ao Setor de Regulação do SAMS.</w:t>
      </w:r>
    </w:p>
    <w:p w14:paraId="035CB02E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.2 Caberá ao Setor de Regulação autorizar e encaminhar os pacientes para realização dos exames.</w:t>
      </w:r>
    </w:p>
    <w:p w14:paraId="5A534204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.3 A contratada deverá disponibilizar ao SAMS as datas e horários disponíveis para agendamento em Sistema Informatizado Oficial.</w:t>
      </w:r>
    </w:p>
    <w:p w14:paraId="7B855951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4.4</w:t>
      </w:r>
      <w:r>
        <w:rPr>
          <w:rFonts w:cs="Arial"/>
          <w:sz w:val="24"/>
          <w:szCs w:val="24"/>
        </w:rPr>
        <w:t xml:space="preserve"> As agendas deverão ser disponibilizadas, preferencialmente, com antecedência mínima de 30 (trinta) dias e máxima de 40 (quarenta) dias.</w:t>
      </w:r>
    </w:p>
    <w:p w14:paraId="1AD3974B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.5 Deverão ser disponibilizados horários diversificados, de modo a atender adequadamente os pacientes prioritários.</w:t>
      </w:r>
    </w:p>
    <w:p w14:paraId="1C3E016D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.6 Alterações de agenda deverão ser comunicadas ao SAMS com antecedência mínima de 48 (quarenta e oito) horas úteis.</w:t>
      </w:r>
    </w:p>
    <w:p w14:paraId="157D05F7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.7 A contratada deverá adotar medidas para evitar cancelamentos e remanejamentos que prejudiquem a continuidade do atendimento.</w:t>
      </w:r>
    </w:p>
    <w:p w14:paraId="367293DE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4.8</w:t>
      </w:r>
      <w:r>
        <w:rPr>
          <w:rFonts w:cs="Arial"/>
          <w:sz w:val="24"/>
          <w:szCs w:val="24"/>
        </w:rPr>
        <w:t xml:space="preserve"> Nos casos classificados como urgência, a contratada deverá disponibilizar o exame prioritariamente, buscando atendimento em até 2 (duas) horas contadas da solicitação.</w:t>
      </w:r>
    </w:p>
    <w:p w14:paraId="300A96C9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4.9</w:t>
      </w:r>
      <w:r>
        <w:rPr>
          <w:rFonts w:cs="Arial"/>
          <w:sz w:val="24"/>
          <w:szCs w:val="24"/>
        </w:rPr>
        <w:t xml:space="preserve"> Nos casos de emergência, o atendimento deverá ocorrer imediatamente, observadas as condições clínicas do paciente e a segurança técnica necessária.</w:t>
      </w:r>
    </w:p>
    <w:p w14:paraId="05A5D2D0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4.10</w:t>
      </w:r>
      <w:r>
        <w:rPr>
          <w:rFonts w:cs="Arial"/>
          <w:sz w:val="24"/>
          <w:szCs w:val="24"/>
        </w:rPr>
        <w:t xml:space="preserve"> Nos casos de urgência e emergência, o laudo deverá ser disponibilizado no mesmo dia da realização do exame.</w:t>
      </w:r>
    </w:p>
    <w:p w14:paraId="18B8321D">
      <w:pPr>
        <w:jc w:val="both"/>
        <w:rPr>
          <w:rFonts w:cs="Arial"/>
          <w:sz w:val="24"/>
          <w:szCs w:val="24"/>
        </w:rPr>
      </w:pPr>
      <w:r>
        <w:rPr>
          <w:rFonts w:hint="default" w:cs="Arial"/>
          <w:sz w:val="24"/>
          <w:szCs w:val="24"/>
          <w:lang w:val="pt-BR"/>
        </w:rPr>
        <w:t>4</w:t>
      </w:r>
      <w:r>
        <w:rPr>
          <w:rFonts w:cs="Arial"/>
          <w:sz w:val="24"/>
          <w:szCs w:val="24"/>
        </w:rPr>
        <w:t>.</w:t>
      </w:r>
      <w:r>
        <w:rPr>
          <w:rFonts w:hint="default" w:cs="Arial"/>
          <w:sz w:val="24"/>
          <w:szCs w:val="24"/>
          <w:lang w:val="pt-BR"/>
        </w:rPr>
        <w:t>11</w:t>
      </w:r>
      <w:r>
        <w:rPr>
          <w:rFonts w:cs="Arial"/>
          <w:sz w:val="24"/>
          <w:szCs w:val="24"/>
        </w:rPr>
        <w:t xml:space="preserve"> Os critérios de urgência e emergência serão definidos pela equipe assistencial e pelo sistema de regulação do SAMS.</w:t>
      </w:r>
    </w:p>
    <w:p w14:paraId="28652101">
      <w:pPr>
        <w:widowControl/>
        <w:suppressAutoHyphens/>
        <w:autoSpaceDE/>
        <w:autoSpaceDN/>
        <w:spacing w:after="120"/>
        <w:jc w:val="both"/>
        <w:rPr>
          <w:rFonts w:eastAsia="Times New Roman"/>
          <w:color w:val="000000"/>
          <w:lang w:val="pt-BR" w:eastAsia="pt-BR" w:bidi="ar-SA"/>
        </w:rPr>
      </w:pPr>
    </w:p>
    <w:p w14:paraId="05CA00DF">
      <w:pPr>
        <w:widowControl/>
        <w:suppressAutoHyphens/>
        <w:autoSpaceDE/>
        <w:autoSpaceDN/>
        <w:spacing w:after="120"/>
        <w:jc w:val="both"/>
        <w:rPr>
          <w:rFonts w:eastAsia="Times New Roman"/>
          <w:b/>
          <w:shd w:val="clear" w:color="auto" w:fill="FFFFFF"/>
          <w:lang w:val="pt-BR" w:eastAsia="ar-SA" w:bidi="ar-SA"/>
        </w:rPr>
      </w:pPr>
      <w:r>
        <w:rPr>
          <w:rFonts w:hint="default" w:eastAsia="Times New Roman"/>
          <w:b/>
          <w:shd w:val="clear" w:color="auto" w:fill="FFFFFF"/>
          <w:lang w:val="pt-BR" w:eastAsia="ar-SA" w:bidi="ar-SA"/>
        </w:rPr>
        <w:t>5</w:t>
      </w:r>
      <w:r>
        <w:rPr>
          <w:rFonts w:eastAsia="Times New Roman"/>
          <w:b/>
          <w:shd w:val="clear" w:color="auto" w:fill="FFFFFF"/>
          <w:lang w:val="pt-BR" w:eastAsia="ar-SA" w:bidi="ar-SA"/>
        </w:rPr>
        <w:t xml:space="preserve">. </w:t>
      </w:r>
      <w:r>
        <w:rPr>
          <w:rFonts w:hint="default" w:eastAsia="Times New Roman"/>
          <w:b/>
          <w:shd w:val="clear" w:color="auto" w:fill="FFFFFF"/>
          <w:lang w:val="pt-BR" w:eastAsia="ar-SA" w:bidi="ar-SA"/>
        </w:rPr>
        <w:t>FORMA DE</w:t>
      </w:r>
      <w:r>
        <w:rPr>
          <w:rFonts w:eastAsia="Times New Roman"/>
          <w:b/>
          <w:shd w:val="clear" w:color="auto" w:fill="FFFFFF"/>
          <w:lang w:val="pt-BR" w:eastAsia="ar-SA" w:bidi="ar-SA"/>
        </w:rPr>
        <w:t xml:space="preserve"> PAGAMENTO</w:t>
      </w:r>
    </w:p>
    <w:p w14:paraId="30C20058">
      <w:pPr>
        <w:jc w:val="both"/>
        <w:rPr>
          <w:rFonts w:cs="Arial"/>
          <w:sz w:val="24"/>
          <w:szCs w:val="24"/>
        </w:rPr>
      </w:pPr>
      <w:r>
        <w:rPr>
          <w:rFonts w:hint="default" w:eastAsia="Times New Roman"/>
          <w:b/>
          <w:shd w:val="clear" w:color="auto" w:fill="FFFFFF"/>
          <w:lang w:val="pt-BR" w:eastAsia="ar-SA" w:bidi="ar-SA"/>
        </w:rPr>
        <w:t>5</w:t>
      </w:r>
      <w:r>
        <w:rPr>
          <w:rFonts w:eastAsia="Times New Roman"/>
          <w:b/>
          <w:shd w:val="clear" w:color="auto" w:fill="FFFFFF"/>
          <w:lang w:val="pt-BR" w:eastAsia="ar-SA" w:bidi="ar-SA"/>
        </w:rPr>
        <w:t>.1</w:t>
      </w:r>
      <w:r>
        <w:rPr>
          <w:rFonts w:eastAsia="Times New Roman"/>
          <w:shd w:val="clear" w:color="auto" w:fill="FFFFFF"/>
          <w:lang w:val="pt-BR" w:eastAsia="ar-SA" w:bidi="ar-SA"/>
        </w:rPr>
        <w:t xml:space="preserve"> </w:t>
      </w:r>
      <w:r>
        <w:rPr>
          <w:rFonts w:hint="default" w:eastAsia="Times New Roman"/>
          <w:shd w:val="clear" w:color="auto" w:fill="FFFFFF"/>
          <w:lang w:val="pt-BR" w:eastAsia="ar-SA" w:bidi="ar-SA"/>
        </w:rPr>
        <w:t>O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 exames realizados no mês serão pagos no dia 15 (quinze) do mês subsequente, mediante a apresentação de nota fiscal/fatura correspondente na tesouraria através de depósito em conta corrente ou transferência bancária, devidamente atestada, pelo setor competente da Autarquia, observada a legislação aplicável. Caso não seja dia útil o pagamento se dará no próximo dia útil.</w:t>
      </w:r>
    </w:p>
    <w:p w14:paraId="2B194B86">
      <w:pPr>
        <w:widowControl/>
        <w:adjustRightInd w:val="0"/>
        <w:spacing w:before="120" w:after="120"/>
        <w:jc w:val="both"/>
        <w:rPr>
          <w:rFonts w:eastAsia="Calibri"/>
          <w:color w:val="000000"/>
          <w:lang w:val="pt-BR" w:eastAsia="en-US" w:bidi="ar-SA"/>
        </w:rPr>
      </w:pPr>
    </w:p>
    <w:p w14:paraId="16B8B5FB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7B42DCEC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5447B885">
      <w:pPr>
        <w:pStyle w:val="22"/>
        <w:spacing w:before="0" w:line="360" w:lineRule="auto"/>
        <w:ind w:left="0"/>
        <w:jc w:val="right"/>
        <w:rPr>
          <w:lang w:eastAsia="en-US" w:bidi="ar-SA"/>
        </w:rPr>
      </w:pPr>
      <w:r>
        <w:rPr>
          <w:lang w:eastAsia="en-US" w:bidi="ar-SA"/>
        </w:rPr>
        <w:t>___</w:t>
      </w:r>
      <w:r>
        <w:rPr>
          <w:u w:val="single"/>
          <w:lang w:eastAsia="en-US" w:bidi="ar-SA"/>
        </w:rPr>
        <w:t>(cidade, estado)</w:t>
      </w:r>
      <w:r>
        <w:rPr>
          <w:lang w:eastAsia="en-US" w:bidi="ar-SA"/>
        </w:rPr>
        <w:t>__, _</w:t>
      </w:r>
      <w:r>
        <w:rPr>
          <w:u w:val="single"/>
          <w:lang w:eastAsia="en-US" w:bidi="ar-SA"/>
        </w:rPr>
        <w:t>(dia)</w:t>
      </w:r>
      <w:r>
        <w:rPr>
          <w:lang w:eastAsia="en-US" w:bidi="ar-SA"/>
        </w:rPr>
        <w:t>___ de _____</w:t>
      </w:r>
      <w:r>
        <w:rPr>
          <w:u w:val="single"/>
          <w:lang w:eastAsia="en-US" w:bidi="ar-SA"/>
        </w:rPr>
        <w:t>(mês)</w:t>
      </w:r>
      <w:r>
        <w:rPr>
          <w:lang w:eastAsia="en-US" w:bidi="ar-SA"/>
        </w:rPr>
        <w:t>___ de 202</w:t>
      </w:r>
      <w:r>
        <w:rPr>
          <w:rFonts w:hint="default"/>
          <w:lang w:val="pt-BR" w:eastAsia="en-US" w:bidi="ar-SA"/>
        </w:rPr>
        <w:t>6</w:t>
      </w:r>
      <w:r>
        <w:rPr>
          <w:lang w:eastAsia="en-US" w:bidi="ar-SA"/>
        </w:rPr>
        <w:t>.</w:t>
      </w:r>
    </w:p>
    <w:p w14:paraId="007148F0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4BA6CC8A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2F91D268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590B4202">
      <w:pPr>
        <w:pStyle w:val="22"/>
        <w:spacing w:before="0" w:line="360" w:lineRule="auto"/>
        <w:ind w:left="0"/>
        <w:jc w:val="right"/>
        <w:rPr>
          <w:lang w:eastAsia="en-US" w:bidi="ar-SA"/>
        </w:rPr>
      </w:pPr>
    </w:p>
    <w:p w14:paraId="6CE288C2">
      <w:pPr>
        <w:pStyle w:val="22"/>
        <w:spacing w:before="0" w:line="360" w:lineRule="auto"/>
        <w:ind w:left="0"/>
        <w:jc w:val="center"/>
        <w:rPr>
          <w:lang w:eastAsia="en-US" w:bidi="ar-SA"/>
        </w:rPr>
      </w:pPr>
    </w:p>
    <w:p w14:paraId="5DC8724A">
      <w:pPr>
        <w:pStyle w:val="22"/>
        <w:spacing w:before="0" w:line="360" w:lineRule="auto"/>
        <w:ind w:left="0"/>
        <w:jc w:val="center"/>
        <w:rPr>
          <w:lang w:eastAsia="en-US" w:bidi="ar-SA"/>
        </w:rPr>
      </w:pPr>
      <w:r>
        <w:rPr>
          <w:lang w:eastAsia="en-US" w:bidi="ar-SA"/>
        </w:rPr>
        <w:t>___________________________________</w:t>
      </w:r>
    </w:p>
    <w:p w14:paraId="3918C4CD">
      <w:pPr>
        <w:pStyle w:val="22"/>
        <w:spacing w:before="0" w:line="360" w:lineRule="auto"/>
        <w:ind w:left="0"/>
        <w:jc w:val="center"/>
        <w:rPr>
          <w:lang w:eastAsia="en-US" w:bidi="ar-SA"/>
        </w:rPr>
      </w:pPr>
      <w:r>
        <w:rPr>
          <w:lang w:eastAsia="en-US" w:bidi="ar-SA"/>
        </w:rPr>
        <w:t>(carimbo e assinatura da empresa)</w:t>
      </w:r>
    </w:p>
    <w:sectPr>
      <w:headerReference r:id="rId3" w:type="default"/>
      <w:footerReference r:id="rId4" w:type="default"/>
      <w:pgSz w:w="11900" w:h="16840"/>
      <w:pgMar w:top="1138" w:right="1138" w:bottom="562" w:left="1701" w:header="0" w:footer="1202" w:gutter="0"/>
      <w:pgNumType w:start="83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ED00FA">
    <w:pPr>
      <w:pStyle w:val="14"/>
      <w:spacing w:line="14" w:lineRule="auto"/>
      <w:jc w:val="left"/>
      <w:rPr>
        <w:sz w:val="20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6EB5D">
    <w:pPr>
      <w:pStyle w:val="14"/>
      <w:spacing w:line="14" w:lineRule="auto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8188A63"/>
    <w:multiLevelType w:val="multilevel"/>
    <w:tmpl w:val="98188A63"/>
    <w:lvl w:ilvl="0" w:tentative="0">
      <w:start w:val="1"/>
      <w:numFmt w:val="decimal"/>
      <w:suff w:val="space"/>
      <w:lvlText w:val="%1."/>
      <w:lvlJc w:val="left"/>
      <w:pPr>
        <w:ind w:left="0" w:leftChars="0" w:firstLine="0" w:firstLineChars="0"/>
      </w:pPr>
      <w:rPr>
        <w:rFonts w:hint="default"/>
      </w:rPr>
    </w:lvl>
    <w:lvl w:ilvl="1" w:tentative="0">
      <w:start w:val="1"/>
      <w:numFmt w:val="decimal"/>
      <w:suff w:val="space"/>
      <w:lvlText w:val="%1.%2."/>
      <w:lvlJc w:val="left"/>
      <w:pPr>
        <w:ind w:left="0" w:leftChars="0" w:firstLine="0" w:firstLineChars="0"/>
      </w:pPr>
      <w:rPr>
        <w:rFonts w:hint="default"/>
      </w:rPr>
    </w:lvl>
    <w:lvl w:ilvl="2" w:tentative="0">
      <w:start w:val="1"/>
      <w:numFmt w:val="decimal"/>
      <w:suff w:val="space"/>
      <w:lvlText w:val="%1.%2.%3."/>
      <w:lvlJc w:val="left"/>
      <w:pPr>
        <w:ind w:left="0" w:leftChars="0" w:firstLine="0" w:firstLineChars="0"/>
      </w:pPr>
      <w:rPr>
        <w:rFonts w:hint="default"/>
      </w:rPr>
    </w:lvl>
    <w:lvl w:ilvl="3" w:tentative="0">
      <w:start w:val="1"/>
      <w:numFmt w:val="decimal"/>
      <w:suff w:val="space"/>
      <w:lvlText w:val="%1.%2.%3.%4."/>
      <w:lvlJc w:val="left"/>
      <w:pPr>
        <w:ind w:left="0" w:leftChars="0" w:firstLine="0" w:firstLineChars="0"/>
      </w:pPr>
      <w:rPr>
        <w:rFonts w:hint="default"/>
      </w:rPr>
    </w:lvl>
    <w:lvl w:ilvl="4" w:tentative="0">
      <w:start w:val="1"/>
      <w:numFmt w:val="decimal"/>
      <w:suff w:val="space"/>
      <w:lvlText w:val="%1.%2.%3.%4.%5."/>
      <w:lvlJc w:val="left"/>
      <w:pPr>
        <w:ind w:left="0" w:leftChars="0" w:firstLine="0" w:firstLineChars="0"/>
      </w:pPr>
      <w:rPr>
        <w:rFonts w:hint="default"/>
      </w:rPr>
    </w:lvl>
    <w:lvl w:ilvl="5" w:tentative="0">
      <w:start w:val="1"/>
      <w:numFmt w:val="decimal"/>
      <w:suff w:val="space"/>
      <w:lvlText w:val="%1.%2.%3.%4.%5.%6."/>
      <w:lvlJc w:val="left"/>
      <w:pPr>
        <w:ind w:left="0" w:leftChars="0" w:firstLine="0" w:firstLineChars="0"/>
      </w:pPr>
      <w:rPr>
        <w:rFonts w:hint="default"/>
      </w:rPr>
    </w:lvl>
    <w:lvl w:ilvl="6" w:tentative="0">
      <w:start w:val="1"/>
      <w:numFmt w:val="decimal"/>
      <w:suff w:val="space"/>
      <w:lvlText w:val="%1.%2.%3.%4.%5.%6.%7."/>
      <w:lvlJc w:val="left"/>
      <w:pPr>
        <w:ind w:left="0" w:leftChars="0" w:firstLine="0" w:firstLineChars="0"/>
      </w:pPr>
      <w:rPr>
        <w:rFonts w:hint="default"/>
      </w:rPr>
    </w:lvl>
    <w:lvl w:ilvl="7" w:tentative="0">
      <w:start w:val="1"/>
      <w:numFmt w:val="decimal"/>
      <w:suff w:val="space"/>
      <w:lvlText w:val="%1.%2.%3.%4.%5.%6.%7.%8."/>
      <w:lvlJc w:val="left"/>
      <w:pPr>
        <w:ind w:left="0" w:leftChars="0" w:firstLine="0" w:firstLineChars="0"/>
      </w:pPr>
      <w:rPr>
        <w:rFonts w:hint="default"/>
      </w:rPr>
    </w:lvl>
    <w:lvl w:ilvl="8" w:tentative="0">
      <w:start w:val="1"/>
      <w:numFmt w:val="decimal"/>
      <w:suff w:val="space"/>
      <w:lvlText w:val="%1.%2.%3.%4.%5.%6.%7.%8.%9."/>
      <w:lvlJc w:val="left"/>
      <w:pPr>
        <w:ind w:left="0" w:leftChars="0" w:firstLine="0" w:firstLineChars="0"/>
      </w:pPr>
      <w:rPr>
        <w:rFonts w:hint="default"/>
      </w:rPr>
    </w:lvl>
  </w:abstractNum>
  <w:abstractNum w:abstractNumId="1">
    <w:nsid w:val="342D633F"/>
    <w:multiLevelType w:val="multilevel"/>
    <w:tmpl w:val="342D633F"/>
    <w:lvl w:ilvl="0" w:tentative="0">
      <w:start w:val="1"/>
      <w:numFmt w:val="decimal"/>
      <w:lvlText w:val="%1."/>
      <w:lvlJc w:val="left"/>
      <w:pPr>
        <w:ind w:left="367" w:hanging="245"/>
      </w:pPr>
      <w:rPr>
        <w:rFonts w:hint="default" w:ascii="Arial" w:hAnsi="Arial" w:eastAsia="Arial" w:cs="Arial"/>
        <w:b/>
        <w:bCs/>
        <w:spacing w:val="-3"/>
        <w:w w:val="100"/>
        <w:sz w:val="22"/>
        <w:szCs w:val="22"/>
        <w:lang w:val="pt-PT" w:eastAsia="pt-PT" w:bidi="pt-PT"/>
      </w:rPr>
    </w:lvl>
    <w:lvl w:ilvl="1" w:tentative="0">
      <w:start w:val="1"/>
      <w:numFmt w:val="decimal"/>
      <w:lvlText w:val="%1.%2."/>
      <w:lvlJc w:val="left"/>
      <w:pPr>
        <w:ind w:left="549" w:hanging="428"/>
      </w:pPr>
      <w:rPr>
        <w:rFonts w:hint="default" w:ascii="Arial" w:hAnsi="Arial" w:eastAsia="Arial" w:cs="Arial"/>
        <w:spacing w:val="-3"/>
        <w:w w:val="100"/>
        <w:sz w:val="22"/>
        <w:szCs w:val="22"/>
        <w:lang w:val="pt-PT" w:eastAsia="pt-PT" w:bidi="pt-PT"/>
      </w:rPr>
    </w:lvl>
    <w:lvl w:ilvl="2" w:tentative="0">
      <w:start w:val="1"/>
      <w:numFmt w:val="decimal"/>
      <w:lvlText w:val="%1.%2.%3"/>
      <w:lvlJc w:val="left"/>
      <w:pPr>
        <w:ind w:left="1353" w:hanging="552"/>
      </w:pPr>
      <w:rPr>
        <w:rFonts w:hint="default" w:ascii="Arial" w:hAnsi="Arial" w:eastAsia="Arial" w:cs="Arial"/>
        <w:spacing w:val="-3"/>
        <w:w w:val="100"/>
        <w:sz w:val="22"/>
        <w:szCs w:val="22"/>
        <w:lang w:val="pt-PT" w:eastAsia="pt-PT" w:bidi="pt-PT"/>
      </w:rPr>
    </w:lvl>
    <w:lvl w:ilvl="3" w:tentative="0">
      <w:start w:val="0"/>
      <w:numFmt w:val="bullet"/>
      <w:lvlText w:val="•"/>
      <w:lvlJc w:val="left"/>
      <w:pPr>
        <w:ind w:left="540" w:hanging="552"/>
      </w:pPr>
      <w:rPr>
        <w:rFonts w:hint="default"/>
        <w:lang w:val="pt-PT" w:eastAsia="pt-PT" w:bidi="pt-PT"/>
      </w:rPr>
    </w:lvl>
    <w:lvl w:ilvl="4" w:tentative="0">
      <w:start w:val="0"/>
      <w:numFmt w:val="bullet"/>
      <w:lvlText w:val="•"/>
      <w:lvlJc w:val="left"/>
      <w:pPr>
        <w:ind w:left="680" w:hanging="552"/>
      </w:pPr>
      <w:rPr>
        <w:rFonts w:hint="default"/>
        <w:lang w:val="pt-PT" w:eastAsia="pt-PT" w:bidi="pt-PT"/>
      </w:rPr>
    </w:lvl>
    <w:lvl w:ilvl="5" w:tentative="0">
      <w:start w:val="0"/>
      <w:numFmt w:val="bullet"/>
      <w:lvlText w:val="•"/>
      <w:lvlJc w:val="left"/>
      <w:pPr>
        <w:ind w:left="1360" w:hanging="552"/>
      </w:pPr>
      <w:rPr>
        <w:rFonts w:hint="default"/>
        <w:lang w:val="pt-PT" w:eastAsia="pt-PT" w:bidi="pt-PT"/>
      </w:rPr>
    </w:lvl>
    <w:lvl w:ilvl="6" w:tentative="0">
      <w:start w:val="0"/>
      <w:numFmt w:val="bullet"/>
      <w:lvlText w:val="•"/>
      <w:lvlJc w:val="left"/>
      <w:pPr>
        <w:ind w:left="3084" w:hanging="552"/>
      </w:pPr>
      <w:rPr>
        <w:rFonts w:hint="default"/>
        <w:lang w:val="pt-PT" w:eastAsia="pt-PT" w:bidi="pt-PT"/>
      </w:rPr>
    </w:lvl>
    <w:lvl w:ilvl="7" w:tentative="0">
      <w:start w:val="0"/>
      <w:numFmt w:val="bullet"/>
      <w:lvlText w:val="•"/>
      <w:lvlJc w:val="left"/>
      <w:pPr>
        <w:ind w:left="4808" w:hanging="552"/>
      </w:pPr>
      <w:rPr>
        <w:rFonts w:hint="default"/>
        <w:lang w:val="pt-PT" w:eastAsia="pt-PT" w:bidi="pt-PT"/>
      </w:rPr>
    </w:lvl>
    <w:lvl w:ilvl="8" w:tentative="0">
      <w:start w:val="0"/>
      <w:numFmt w:val="bullet"/>
      <w:lvlText w:val="•"/>
      <w:lvlJc w:val="left"/>
      <w:pPr>
        <w:ind w:left="6532" w:hanging="552"/>
      </w:pPr>
      <w:rPr>
        <w:rFonts w:hint="default"/>
        <w:lang w:val="pt-PT" w:eastAsia="pt-PT" w:bidi="pt-P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hideSpellingErrors/>
  <w:documentProtection w:enforcement="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91A"/>
    <w:rsid w:val="00002F27"/>
    <w:rsid w:val="00006B59"/>
    <w:rsid w:val="00016522"/>
    <w:rsid w:val="0002607E"/>
    <w:rsid w:val="00026BF0"/>
    <w:rsid w:val="00033529"/>
    <w:rsid w:val="00034F17"/>
    <w:rsid w:val="00044237"/>
    <w:rsid w:val="00054117"/>
    <w:rsid w:val="000671D9"/>
    <w:rsid w:val="00067A08"/>
    <w:rsid w:val="0009444D"/>
    <w:rsid w:val="000A73EF"/>
    <w:rsid w:val="001163ED"/>
    <w:rsid w:val="00122EC0"/>
    <w:rsid w:val="001408A3"/>
    <w:rsid w:val="00152273"/>
    <w:rsid w:val="001534AE"/>
    <w:rsid w:val="0015456D"/>
    <w:rsid w:val="00171E0F"/>
    <w:rsid w:val="00181BA5"/>
    <w:rsid w:val="001936E1"/>
    <w:rsid w:val="001972D1"/>
    <w:rsid w:val="001A2B86"/>
    <w:rsid w:val="001B4DCE"/>
    <w:rsid w:val="001C2D87"/>
    <w:rsid w:val="0020156A"/>
    <w:rsid w:val="00207CAE"/>
    <w:rsid w:val="00225BCD"/>
    <w:rsid w:val="00240346"/>
    <w:rsid w:val="002404FC"/>
    <w:rsid w:val="00242005"/>
    <w:rsid w:val="00257AA9"/>
    <w:rsid w:val="00257BF7"/>
    <w:rsid w:val="002864C8"/>
    <w:rsid w:val="00295CB3"/>
    <w:rsid w:val="002D2D0C"/>
    <w:rsid w:val="002E02AC"/>
    <w:rsid w:val="002F4E60"/>
    <w:rsid w:val="00302384"/>
    <w:rsid w:val="00305FF7"/>
    <w:rsid w:val="003162AB"/>
    <w:rsid w:val="0033181A"/>
    <w:rsid w:val="00343DF5"/>
    <w:rsid w:val="003479CE"/>
    <w:rsid w:val="0035596E"/>
    <w:rsid w:val="00356AEF"/>
    <w:rsid w:val="00370694"/>
    <w:rsid w:val="003711A2"/>
    <w:rsid w:val="0037120C"/>
    <w:rsid w:val="003715A3"/>
    <w:rsid w:val="00373555"/>
    <w:rsid w:val="00387B30"/>
    <w:rsid w:val="00391B11"/>
    <w:rsid w:val="003A6DEC"/>
    <w:rsid w:val="003C1574"/>
    <w:rsid w:val="003C5804"/>
    <w:rsid w:val="003F0EFD"/>
    <w:rsid w:val="003F6CD3"/>
    <w:rsid w:val="004046CA"/>
    <w:rsid w:val="00410493"/>
    <w:rsid w:val="004131D8"/>
    <w:rsid w:val="00421E56"/>
    <w:rsid w:val="00423342"/>
    <w:rsid w:val="0042479C"/>
    <w:rsid w:val="00425312"/>
    <w:rsid w:val="00432392"/>
    <w:rsid w:val="00446389"/>
    <w:rsid w:val="004633FB"/>
    <w:rsid w:val="00475805"/>
    <w:rsid w:val="00480635"/>
    <w:rsid w:val="00481794"/>
    <w:rsid w:val="00484010"/>
    <w:rsid w:val="004C36BD"/>
    <w:rsid w:val="00522D03"/>
    <w:rsid w:val="00523DE2"/>
    <w:rsid w:val="00534C7F"/>
    <w:rsid w:val="00557259"/>
    <w:rsid w:val="00570D3C"/>
    <w:rsid w:val="00571107"/>
    <w:rsid w:val="005876F8"/>
    <w:rsid w:val="005B0CFE"/>
    <w:rsid w:val="005C18C7"/>
    <w:rsid w:val="005C78B3"/>
    <w:rsid w:val="005D21CD"/>
    <w:rsid w:val="005E2B50"/>
    <w:rsid w:val="005E515A"/>
    <w:rsid w:val="00601673"/>
    <w:rsid w:val="00602A3D"/>
    <w:rsid w:val="00615D04"/>
    <w:rsid w:val="00621DFC"/>
    <w:rsid w:val="00622F98"/>
    <w:rsid w:val="00626130"/>
    <w:rsid w:val="00627AF7"/>
    <w:rsid w:val="0063535C"/>
    <w:rsid w:val="00641285"/>
    <w:rsid w:val="00645FAD"/>
    <w:rsid w:val="006B5ABC"/>
    <w:rsid w:val="006C0C56"/>
    <w:rsid w:val="006C7E9E"/>
    <w:rsid w:val="006D3783"/>
    <w:rsid w:val="006E6AF1"/>
    <w:rsid w:val="006E7A0D"/>
    <w:rsid w:val="006F3905"/>
    <w:rsid w:val="00705DD9"/>
    <w:rsid w:val="0071080E"/>
    <w:rsid w:val="00715024"/>
    <w:rsid w:val="00723BD1"/>
    <w:rsid w:val="007365F0"/>
    <w:rsid w:val="00750E4C"/>
    <w:rsid w:val="007517D6"/>
    <w:rsid w:val="0075283F"/>
    <w:rsid w:val="007555CB"/>
    <w:rsid w:val="00762718"/>
    <w:rsid w:val="00764D57"/>
    <w:rsid w:val="00765E6F"/>
    <w:rsid w:val="00772902"/>
    <w:rsid w:val="00774594"/>
    <w:rsid w:val="007A0B7D"/>
    <w:rsid w:val="007A1311"/>
    <w:rsid w:val="007B2ADB"/>
    <w:rsid w:val="007C2024"/>
    <w:rsid w:val="007F54DD"/>
    <w:rsid w:val="008110FA"/>
    <w:rsid w:val="008203F1"/>
    <w:rsid w:val="008475F7"/>
    <w:rsid w:val="008600C4"/>
    <w:rsid w:val="008642C6"/>
    <w:rsid w:val="00867FDB"/>
    <w:rsid w:val="00875EBD"/>
    <w:rsid w:val="00886C69"/>
    <w:rsid w:val="0089053A"/>
    <w:rsid w:val="00891A9E"/>
    <w:rsid w:val="008A57CF"/>
    <w:rsid w:val="008B25E1"/>
    <w:rsid w:val="008C0EAA"/>
    <w:rsid w:val="008C0F06"/>
    <w:rsid w:val="008D47DF"/>
    <w:rsid w:val="008E4FC7"/>
    <w:rsid w:val="00902A2E"/>
    <w:rsid w:val="00904F8C"/>
    <w:rsid w:val="00916105"/>
    <w:rsid w:val="00920D9B"/>
    <w:rsid w:val="0095453D"/>
    <w:rsid w:val="0095691A"/>
    <w:rsid w:val="00963496"/>
    <w:rsid w:val="00987D8E"/>
    <w:rsid w:val="009A279B"/>
    <w:rsid w:val="009A4F4A"/>
    <w:rsid w:val="009B093C"/>
    <w:rsid w:val="009B646B"/>
    <w:rsid w:val="009E3E9E"/>
    <w:rsid w:val="00A069D4"/>
    <w:rsid w:val="00A11CF1"/>
    <w:rsid w:val="00A132D5"/>
    <w:rsid w:val="00A142A6"/>
    <w:rsid w:val="00A15756"/>
    <w:rsid w:val="00A1579D"/>
    <w:rsid w:val="00A16BFF"/>
    <w:rsid w:val="00A1787C"/>
    <w:rsid w:val="00A26C08"/>
    <w:rsid w:val="00A65D2A"/>
    <w:rsid w:val="00A7733A"/>
    <w:rsid w:val="00A9298E"/>
    <w:rsid w:val="00A96C4D"/>
    <w:rsid w:val="00AB1502"/>
    <w:rsid w:val="00AC07D2"/>
    <w:rsid w:val="00AC4F49"/>
    <w:rsid w:val="00AE25C2"/>
    <w:rsid w:val="00AE6164"/>
    <w:rsid w:val="00AE7316"/>
    <w:rsid w:val="00AF7487"/>
    <w:rsid w:val="00B0652A"/>
    <w:rsid w:val="00B16281"/>
    <w:rsid w:val="00B23762"/>
    <w:rsid w:val="00B60DB8"/>
    <w:rsid w:val="00B63A8B"/>
    <w:rsid w:val="00B66DF7"/>
    <w:rsid w:val="00B85E65"/>
    <w:rsid w:val="00B87D0A"/>
    <w:rsid w:val="00B93480"/>
    <w:rsid w:val="00BA654D"/>
    <w:rsid w:val="00BA760D"/>
    <w:rsid w:val="00BB2727"/>
    <w:rsid w:val="00BB2F70"/>
    <w:rsid w:val="00BC7C0A"/>
    <w:rsid w:val="00BC7DD9"/>
    <w:rsid w:val="00BE43AD"/>
    <w:rsid w:val="00C150E5"/>
    <w:rsid w:val="00C606DA"/>
    <w:rsid w:val="00C832FF"/>
    <w:rsid w:val="00C91B2C"/>
    <w:rsid w:val="00C92A13"/>
    <w:rsid w:val="00C9455B"/>
    <w:rsid w:val="00C97627"/>
    <w:rsid w:val="00CB2852"/>
    <w:rsid w:val="00CB7C0F"/>
    <w:rsid w:val="00CC0467"/>
    <w:rsid w:val="00CC3CB1"/>
    <w:rsid w:val="00CD22E1"/>
    <w:rsid w:val="00CE0D43"/>
    <w:rsid w:val="00CE7B87"/>
    <w:rsid w:val="00CF21E3"/>
    <w:rsid w:val="00CF62F2"/>
    <w:rsid w:val="00D177C5"/>
    <w:rsid w:val="00D34B08"/>
    <w:rsid w:val="00D3535A"/>
    <w:rsid w:val="00D450E0"/>
    <w:rsid w:val="00D535AC"/>
    <w:rsid w:val="00D55FEF"/>
    <w:rsid w:val="00D701DE"/>
    <w:rsid w:val="00D81C66"/>
    <w:rsid w:val="00D9586A"/>
    <w:rsid w:val="00D97A61"/>
    <w:rsid w:val="00DB4E0F"/>
    <w:rsid w:val="00DC771F"/>
    <w:rsid w:val="00DD1868"/>
    <w:rsid w:val="00DE235F"/>
    <w:rsid w:val="00DF1F56"/>
    <w:rsid w:val="00DF7677"/>
    <w:rsid w:val="00DF7B50"/>
    <w:rsid w:val="00E02718"/>
    <w:rsid w:val="00E30FD0"/>
    <w:rsid w:val="00E36868"/>
    <w:rsid w:val="00E50CE0"/>
    <w:rsid w:val="00E512E6"/>
    <w:rsid w:val="00E67A62"/>
    <w:rsid w:val="00E73157"/>
    <w:rsid w:val="00E95ACF"/>
    <w:rsid w:val="00EB0FE6"/>
    <w:rsid w:val="00EB4977"/>
    <w:rsid w:val="00EB63FF"/>
    <w:rsid w:val="00ED6A9A"/>
    <w:rsid w:val="00EF23CE"/>
    <w:rsid w:val="00EF3E30"/>
    <w:rsid w:val="00EF4242"/>
    <w:rsid w:val="00EF7BF7"/>
    <w:rsid w:val="00F113AB"/>
    <w:rsid w:val="00F11A24"/>
    <w:rsid w:val="00F144F0"/>
    <w:rsid w:val="00F455FC"/>
    <w:rsid w:val="00F52979"/>
    <w:rsid w:val="00F70A34"/>
    <w:rsid w:val="00F735BD"/>
    <w:rsid w:val="00F83A9C"/>
    <w:rsid w:val="00FA2BB1"/>
    <w:rsid w:val="00FB62E3"/>
    <w:rsid w:val="00FC7524"/>
    <w:rsid w:val="73D12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semiHidden="0" w:name="heading 4"/>
    <w:lsdException w:qFormat="1" w:uiPriority="0" w:semiHidden="0" w:name="heading 5"/>
    <w:lsdException w:qFormat="1" w:uiPriority="0" w:name="heading 6"/>
    <w:lsdException w:qFormat="1" w:uiPriority="0" w:name="heading 7"/>
    <w:lsdException w:qFormat="1" w:uiPriority="0" w:semiHidden="0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Arial" w:hAnsi="Arial" w:eastAsia="Arial" w:cs="Arial"/>
      <w:sz w:val="22"/>
      <w:szCs w:val="22"/>
      <w:lang w:val="pt-PT" w:eastAsia="pt-PT" w:bidi="pt-PT"/>
    </w:rPr>
  </w:style>
  <w:style w:type="paragraph" w:styleId="2">
    <w:name w:val="heading 1"/>
    <w:basedOn w:val="1"/>
    <w:qFormat/>
    <w:uiPriority w:val="1"/>
    <w:pPr>
      <w:spacing w:before="1"/>
      <w:ind w:left="1089" w:right="986"/>
      <w:outlineLvl w:val="0"/>
    </w:pPr>
    <w:rPr>
      <w:b/>
      <w:bCs/>
      <w:sz w:val="24"/>
      <w:szCs w:val="24"/>
    </w:rPr>
  </w:style>
  <w:style w:type="paragraph" w:styleId="3">
    <w:name w:val="heading 2"/>
    <w:basedOn w:val="1"/>
    <w:link w:val="35"/>
    <w:qFormat/>
    <w:uiPriority w:val="0"/>
    <w:pPr>
      <w:spacing w:before="12"/>
      <w:ind w:left="40"/>
      <w:outlineLvl w:val="1"/>
    </w:pPr>
    <w:rPr>
      <w:sz w:val="24"/>
      <w:szCs w:val="24"/>
    </w:rPr>
  </w:style>
  <w:style w:type="paragraph" w:styleId="4">
    <w:name w:val="heading 3"/>
    <w:basedOn w:val="1"/>
    <w:link w:val="32"/>
    <w:qFormat/>
    <w:uiPriority w:val="0"/>
    <w:pPr>
      <w:ind w:left="801" w:hanging="682"/>
      <w:outlineLvl w:val="2"/>
    </w:pPr>
    <w:rPr>
      <w:b/>
      <w:bCs/>
    </w:rPr>
  </w:style>
  <w:style w:type="paragraph" w:styleId="5">
    <w:name w:val="heading 4"/>
    <w:basedOn w:val="1"/>
    <w:next w:val="1"/>
    <w:link w:val="27"/>
    <w:unhideWhenUsed/>
    <w:qFormat/>
    <w:uiPriority w:val="0"/>
    <w:pPr>
      <w:keepNext/>
      <w:widowControl/>
      <w:tabs>
        <w:tab w:val="left" w:pos="0"/>
      </w:tabs>
      <w:suppressAutoHyphens/>
      <w:autoSpaceDE/>
      <w:autoSpaceDN/>
      <w:jc w:val="center"/>
      <w:outlineLvl w:val="3"/>
    </w:pPr>
    <w:rPr>
      <w:rFonts w:ascii="Times New Roman" w:hAnsi="Times New Roman" w:eastAsia="Times New Roman" w:cs="Times New Roman"/>
      <w:b/>
      <w:sz w:val="24"/>
      <w:szCs w:val="24"/>
      <w:lang w:val="pt-BR" w:eastAsia="ar-SA" w:bidi="ar-SA"/>
    </w:rPr>
  </w:style>
  <w:style w:type="paragraph" w:styleId="6">
    <w:name w:val="heading 5"/>
    <w:basedOn w:val="1"/>
    <w:next w:val="1"/>
    <w:link w:val="28"/>
    <w:unhideWhenUsed/>
    <w:qFormat/>
    <w:uiPriority w:val="0"/>
    <w:pPr>
      <w:keepNext/>
      <w:widowControl/>
      <w:tabs>
        <w:tab w:val="left" w:pos="0"/>
      </w:tabs>
      <w:suppressAutoHyphens/>
      <w:autoSpaceDE/>
      <w:autoSpaceDN/>
      <w:jc w:val="both"/>
      <w:outlineLvl w:val="4"/>
    </w:pPr>
    <w:rPr>
      <w:rFonts w:eastAsia="Times New Roman" w:cs="Times New Roman"/>
      <w:b/>
      <w:color w:val="0000FF"/>
      <w:szCs w:val="20"/>
      <w:lang w:val="pt-BR" w:eastAsia="ar-SA" w:bidi="ar-SA"/>
    </w:rPr>
  </w:style>
  <w:style w:type="paragraph" w:styleId="7">
    <w:name w:val="heading 6"/>
    <w:basedOn w:val="1"/>
    <w:next w:val="1"/>
    <w:link w:val="29"/>
    <w:semiHidden/>
    <w:unhideWhenUsed/>
    <w:qFormat/>
    <w:uiPriority w:val="0"/>
    <w:pPr>
      <w:keepNext/>
      <w:widowControl/>
      <w:tabs>
        <w:tab w:val="left" w:pos="0"/>
      </w:tabs>
      <w:suppressAutoHyphens/>
      <w:autoSpaceDE/>
      <w:autoSpaceDN/>
      <w:ind w:left="1440"/>
      <w:jc w:val="both"/>
      <w:outlineLvl w:val="5"/>
    </w:pPr>
    <w:rPr>
      <w:rFonts w:ascii="Times New Roman" w:hAnsi="Times New Roman" w:eastAsia="Times New Roman" w:cs="Times New Roman"/>
      <w:b/>
      <w:bCs/>
      <w:sz w:val="24"/>
      <w:szCs w:val="24"/>
      <w:lang w:val="pt-BR" w:eastAsia="ar-SA" w:bidi="ar-SA"/>
    </w:rPr>
  </w:style>
  <w:style w:type="paragraph" w:styleId="8">
    <w:name w:val="heading 7"/>
    <w:basedOn w:val="1"/>
    <w:next w:val="1"/>
    <w:link w:val="34"/>
    <w:semiHidden/>
    <w:unhideWhenUsed/>
    <w:qFormat/>
    <w:uiPriority w:val="0"/>
    <w:pPr>
      <w:widowControl/>
      <w:tabs>
        <w:tab w:val="left" w:pos="0"/>
      </w:tabs>
      <w:suppressAutoHyphens/>
      <w:autoSpaceDE/>
      <w:autoSpaceDN/>
      <w:spacing w:before="240" w:after="60"/>
      <w:outlineLvl w:val="6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paragraph" w:styleId="9">
    <w:name w:val="heading 8"/>
    <w:basedOn w:val="1"/>
    <w:next w:val="1"/>
    <w:link w:val="30"/>
    <w:unhideWhenUsed/>
    <w:qFormat/>
    <w:uiPriority w:val="0"/>
    <w:pPr>
      <w:keepNext/>
      <w:widowControl/>
      <w:tabs>
        <w:tab w:val="left" w:pos="0"/>
      </w:tabs>
      <w:suppressAutoHyphens/>
      <w:autoSpaceDE/>
      <w:autoSpaceDN/>
      <w:ind w:left="1440"/>
      <w:jc w:val="both"/>
      <w:outlineLvl w:val="7"/>
    </w:pPr>
    <w:rPr>
      <w:rFonts w:ascii="Times New Roman" w:hAnsi="Times New Roman" w:eastAsia="Times New Roman" w:cs="Times New Roman"/>
      <w:b/>
      <w:bCs/>
      <w:sz w:val="24"/>
      <w:szCs w:val="24"/>
      <w:lang w:val="pt-BR" w:eastAsia="ar-SA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FollowedHyperlink"/>
    <w:basedOn w:val="1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13">
    <w:name w:val="Hyperlink"/>
    <w:unhideWhenUsed/>
    <w:qFormat/>
    <w:uiPriority w:val="0"/>
    <w:rPr>
      <w:color w:val="0000FF"/>
      <w:u w:val="single"/>
    </w:rPr>
  </w:style>
  <w:style w:type="paragraph" w:styleId="14">
    <w:name w:val="Body Text"/>
    <w:basedOn w:val="1"/>
    <w:link w:val="36"/>
    <w:qFormat/>
    <w:uiPriority w:val="0"/>
    <w:pPr>
      <w:jc w:val="both"/>
    </w:pPr>
  </w:style>
  <w:style w:type="paragraph" w:styleId="15">
    <w:name w:val="Normal (Web)"/>
    <w:basedOn w:val="1"/>
    <w:semiHidden/>
    <w:unhideWhenUsed/>
    <w:qFormat/>
    <w:uiPriority w:val="0"/>
    <w:pPr>
      <w:widowControl/>
      <w:autoSpaceDE/>
      <w:autoSpaceDN/>
      <w:spacing w:before="100" w:beforeAutospacing="1" w:after="100" w:afterAutospacing="1"/>
    </w:pPr>
    <w:rPr>
      <w:rFonts w:ascii="Times New Roman" w:hAnsi="Times New Roman" w:eastAsia="Times New Roman" w:cs="Times New Roman"/>
      <w:sz w:val="24"/>
      <w:szCs w:val="24"/>
      <w:lang w:val="pt-BR" w:eastAsia="pt-BR" w:bidi="ar-SA"/>
    </w:rPr>
  </w:style>
  <w:style w:type="paragraph" w:styleId="16">
    <w:name w:val="header"/>
    <w:basedOn w:val="1"/>
    <w:link w:val="25"/>
    <w:unhideWhenUsed/>
    <w:qFormat/>
    <w:uiPriority w:val="99"/>
    <w:pPr>
      <w:tabs>
        <w:tab w:val="center" w:pos="4252"/>
        <w:tab w:val="right" w:pos="8504"/>
      </w:tabs>
    </w:pPr>
  </w:style>
  <w:style w:type="paragraph" w:styleId="17">
    <w:name w:val="footer"/>
    <w:basedOn w:val="1"/>
    <w:link w:val="26"/>
    <w:unhideWhenUsed/>
    <w:uiPriority w:val="99"/>
    <w:pPr>
      <w:tabs>
        <w:tab w:val="center" w:pos="4252"/>
        <w:tab w:val="right" w:pos="8504"/>
      </w:tabs>
    </w:pPr>
  </w:style>
  <w:style w:type="paragraph" w:styleId="18">
    <w:name w:val="Balloon Text"/>
    <w:basedOn w:val="1"/>
    <w:link w:val="24"/>
    <w:semiHidden/>
    <w:unhideWhenUsed/>
    <w:qFormat/>
    <w:uiPriority w:val="99"/>
    <w:rPr>
      <w:rFonts w:ascii="Tahoma" w:hAnsi="Tahoma" w:cs="Tahoma"/>
      <w:sz w:val="16"/>
      <w:szCs w:val="16"/>
    </w:rPr>
  </w:style>
  <w:style w:type="paragraph" w:styleId="19">
    <w:name w:val="Body Text Indent"/>
    <w:basedOn w:val="1"/>
    <w:link w:val="40"/>
    <w:semiHidden/>
    <w:unhideWhenUsed/>
    <w:qFormat/>
    <w:uiPriority w:val="99"/>
    <w:pPr>
      <w:widowControl/>
      <w:suppressAutoHyphens/>
      <w:autoSpaceDE/>
      <w:autoSpaceDN/>
      <w:spacing w:after="120"/>
      <w:ind w:left="283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table" w:styleId="20">
    <w:name w:val="Table Grid"/>
    <w:basedOn w:val="11"/>
    <w:qFormat/>
    <w:uiPriority w:val="59"/>
    <w:pPr>
      <w:widowControl/>
      <w:autoSpaceDE/>
      <w:autoSpaceDN/>
    </w:pPr>
    <w:rPr>
      <w:lang w:val="pt-B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21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22">
    <w:name w:val="List Paragraph"/>
    <w:basedOn w:val="1"/>
    <w:qFormat/>
    <w:uiPriority w:val="34"/>
    <w:pPr>
      <w:spacing w:before="83"/>
      <w:ind w:left="122"/>
      <w:jc w:val="both"/>
    </w:pPr>
  </w:style>
  <w:style w:type="paragraph" w:customStyle="1" w:styleId="23">
    <w:name w:val="Table Paragraph"/>
    <w:basedOn w:val="1"/>
    <w:qFormat/>
    <w:uiPriority w:val="1"/>
  </w:style>
  <w:style w:type="character" w:customStyle="1" w:styleId="24">
    <w:name w:val="Texto de balão Char"/>
    <w:basedOn w:val="10"/>
    <w:link w:val="18"/>
    <w:semiHidden/>
    <w:qFormat/>
    <w:uiPriority w:val="99"/>
    <w:rPr>
      <w:rFonts w:ascii="Tahoma" w:hAnsi="Tahoma" w:eastAsia="Arial" w:cs="Tahoma"/>
      <w:sz w:val="16"/>
      <w:szCs w:val="16"/>
      <w:lang w:val="pt-PT" w:eastAsia="pt-PT" w:bidi="pt-PT"/>
    </w:rPr>
  </w:style>
  <w:style w:type="character" w:customStyle="1" w:styleId="25">
    <w:name w:val="Cabeçalho Char"/>
    <w:basedOn w:val="10"/>
    <w:link w:val="16"/>
    <w:qFormat/>
    <w:uiPriority w:val="99"/>
    <w:rPr>
      <w:rFonts w:ascii="Arial" w:hAnsi="Arial" w:eastAsia="Arial" w:cs="Arial"/>
      <w:lang w:val="pt-PT" w:eastAsia="pt-PT" w:bidi="pt-PT"/>
    </w:rPr>
  </w:style>
  <w:style w:type="character" w:customStyle="1" w:styleId="26">
    <w:name w:val="Rodapé Char"/>
    <w:basedOn w:val="10"/>
    <w:link w:val="17"/>
    <w:uiPriority w:val="99"/>
    <w:rPr>
      <w:rFonts w:ascii="Arial" w:hAnsi="Arial" w:eastAsia="Arial" w:cs="Arial"/>
      <w:lang w:val="pt-PT" w:eastAsia="pt-PT" w:bidi="pt-PT"/>
    </w:rPr>
  </w:style>
  <w:style w:type="character" w:customStyle="1" w:styleId="27">
    <w:name w:val="Título 4 Char"/>
    <w:basedOn w:val="10"/>
    <w:link w:val="5"/>
    <w:uiPriority w:val="0"/>
    <w:rPr>
      <w:rFonts w:ascii="Times New Roman" w:hAnsi="Times New Roman" w:eastAsia="Times New Roman" w:cs="Times New Roman"/>
      <w:b/>
      <w:sz w:val="24"/>
      <w:szCs w:val="24"/>
      <w:lang w:val="pt-BR" w:eastAsia="ar-SA"/>
    </w:rPr>
  </w:style>
  <w:style w:type="character" w:customStyle="1" w:styleId="28">
    <w:name w:val="Título 5 Char"/>
    <w:basedOn w:val="10"/>
    <w:link w:val="6"/>
    <w:uiPriority w:val="0"/>
    <w:rPr>
      <w:rFonts w:ascii="Arial" w:hAnsi="Arial" w:eastAsia="Times New Roman" w:cs="Times New Roman"/>
      <w:b/>
      <w:color w:val="0000FF"/>
      <w:szCs w:val="20"/>
      <w:lang w:val="pt-BR" w:eastAsia="ar-SA"/>
    </w:rPr>
  </w:style>
  <w:style w:type="character" w:customStyle="1" w:styleId="29">
    <w:name w:val="Título 6 Char"/>
    <w:basedOn w:val="10"/>
    <w:link w:val="7"/>
    <w:semiHidden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pt-BR" w:eastAsia="ar-SA"/>
    </w:rPr>
  </w:style>
  <w:style w:type="character" w:customStyle="1" w:styleId="30">
    <w:name w:val="Título 8 Char"/>
    <w:basedOn w:val="10"/>
    <w:link w:val="9"/>
    <w:qFormat/>
    <w:uiPriority w:val="0"/>
    <w:rPr>
      <w:rFonts w:ascii="Times New Roman" w:hAnsi="Times New Roman" w:eastAsia="Times New Roman" w:cs="Times New Roman"/>
      <w:b/>
      <w:bCs/>
      <w:sz w:val="24"/>
      <w:szCs w:val="24"/>
      <w:lang w:val="pt-BR" w:eastAsia="ar-SA"/>
    </w:rPr>
  </w:style>
  <w:style w:type="character" w:customStyle="1" w:styleId="31">
    <w:name w:val="N"/>
    <w:qFormat/>
    <w:uiPriority w:val="0"/>
    <w:rPr>
      <w:b/>
      <w:bCs/>
    </w:rPr>
  </w:style>
  <w:style w:type="character" w:customStyle="1" w:styleId="32">
    <w:name w:val="Título 3 Char"/>
    <w:basedOn w:val="10"/>
    <w:link w:val="4"/>
    <w:qFormat/>
    <w:uiPriority w:val="0"/>
    <w:rPr>
      <w:rFonts w:ascii="Arial" w:hAnsi="Arial" w:eastAsia="Arial" w:cs="Arial"/>
      <w:b/>
      <w:bCs/>
      <w:lang w:val="pt-PT" w:eastAsia="pt-PT" w:bidi="pt-PT"/>
    </w:rPr>
  </w:style>
  <w:style w:type="paragraph" w:customStyle="1" w:styleId="33">
    <w:name w:val="Recuo de corpo de texto 21"/>
    <w:basedOn w:val="1"/>
    <w:qFormat/>
    <w:uiPriority w:val="0"/>
    <w:pPr>
      <w:widowControl/>
      <w:suppressAutoHyphens/>
      <w:autoSpaceDE/>
      <w:autoSpaceDN/>
      <w:ind w:firstLine="1440"/>
      <w:jc w:val="both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character" w:customStyle="1" w:styleId="34">
    <w:name w:val="Título 7 Char"/>
    <w:basedOn w:val="10"/>
    <w:link w:val="8"/>
    <w:semiHidden/>
    <w:qFormat/>
    <w:uiPriority w:val="0"/>
    <w:rPr>
      <w:rFonts w:ascii="Times New Roman" w:hAnsi="Times New Roman" w:eastAsia="Times New Roman" w:cs="Times New Roman"/>
      <w:sz w:val="24"/>
      <w:szCs w:val="24"/>
      <w:lang w:val="pt-BR" w:eastAsia="ar-SA"/>
    </w:rPr>
  </w:style>
  <w:style w:type="character" w:customStyle="1" w:styleId="35">
    <w:name w:val="Título 2 Char"/>
    <w:basedOn w:val="10"/>
    <w:link w:val="3"/>
    <w:qFormat/>
    <w:uiPriority w:val="0"/>
    <w:rPr>
      <w:rFonts w:ascii="Arial" w:hAnsi="Arial" w:eastAsia="Arial" w:cs="Arial"/>
      <w:sz w:val="24"/>
      <w:szCs w:val="24"/>
      <w:lang w:val="pt-PT" w:eastAsia="pt-PT" w:bidi="pt-PT"/>
    </w:rPr>
  </w:style>
  <w:style w:type="character" w:customStyle="1" w:styleId="36">
    <w:name w:val="Corpo de texto Char"/>
    <w:basedOn w:val="10"/>
    <w:link w:val="14"/>
    <w:qFormat/>
    <w:uiPriority w:val="0"/>
    <w:rPr>
      <w:rFonts w:ascii="Arial" w:hAnsi="Arial" w:eastAsia="Arial" w:cs="Arial"/>
      <w:lang w:val="pt-PT" w:eastAsia="pt-PT" w:bidi="pt-PT"/>
    </w:rPr>
  </w:style>
  <w:style w:type="paragraph" w:customStyle="1" w:styleId="37">
    <w:name w:val="Corpo de texto 32"/>
    <w:basedOn w:val="1"/>
    <w:qFormat/>
    <w:uiPriority w:val="0"/>
    <w:pPr>
      <w:widowControl/>
      <w:suppressAutoHyphens/>
      <w:autoSpaceDE/>
      <w:autoSpaceDN/>
      <w:spacing w:after="120"/>
    </w:pPr>
    <w:rPr>
      <w:rFonts w:ascii="Times New Roman" w:hAnsi="Times New Roman" w:eastAsia="Times New Roman" w:cs="Times New Roman"/>
      <w:sz w:val="16"/>
      <w:szCs w:val="16"/>
      <w:lang w:val="pt-BR" w:eastAsia="ar-SA" w:bidi="ar-SA"/>
    </w:rPr>
  </w:style>
  <w:style w:type="paragraph" w:customStyle="1" w:styleId="38">
    <w:name w:val="Corpo de texto 23"/>
    <w:basedOn w:val="1"/>
    <w:qFormat/>
    <w:uiPriority w:val="0"/>
    <w:pPr>
      <w:widowControl/>
      <w:suppressAutoHyphens/>
      <w:autoSpaceDE/>
      <w:autoSpaceDN/>
      <w:spacing w:after="120" w:line="480" w:lineRule="auto"/>
    </w:pPr>
    <w:rPr>
      <w:rFonts w:ascii="Times New Roman" w:hAnsi="Times New Roman" w:eastAsia="Times New Roman" w:cs="Times New Roman"/>
      <w:sz w:val="24"/>
      <w:szCs w:val="24"/>
      <w:lang w:val="en-US" w:eastAsia="ar-SA" w:bidi="ar-SA"/>
    </w:rPr>
  </w:style>
  <w:style w:type="paragraph" w:customStyle="1" w:styleId="39">
    <w:name w:val="Recuo de corpo de texto 22"/>
    <w:basedOn w:val="1"/>
    <w:qFormat/>
    <w:uiPriority w:val="0"/>
    <w:pPr>
      <w:widowControl/>
      <w:suppressAutoHyphens/>
      <w:autoSpaceDE/>
      <w:autoSpaceDN/>
      <w:ind w:firstLine="1440"/>
      <w:jc w:val="both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character" w:customStyle="1" w:styleId="40">
    <w:name w:val="Recuo de corpo de texto Char"/>
    <w:basedOn w:val="10"/>
    <w:link w:val="19"/>
    <w:semiHidden/>
    <w:qFormat/>
    <w:uiPriority w:val="99"/>
    <w:rPr>
      <w:rFonts w:ascii="Times New Roman" w:hAnsi="Times New Roman" w:eastAsia="Times New Roman" w:cs="Times New Roman"/>
      <w:sz w:val="24"/>
      <w:szCs w:val="24"/>
      <w:lang w:val="pt-BR" w:eastAsia="ar-SA"/>
    </w:rPr>
  </w:style>
  <w:style w:type="paragraph" w:customStyle="1" w:styleId="41">
    <w:name w:val="Corpo de texto 31"/>
    <w:basedOn w:val="1"/>
    <w:qFormat/>
    <w:uiPriority w:val="0"/>
    <w:pPr>
      <w:widowControl/>
      <w:suppressAutoHyphens/>
      <w:autoSpaceDE/>
      <w:autoSpaceDN/>
      <w:jc w:val="both"/>
    </w:pPr>
    <w:rPr>
      <w:rFonts w:eastAsia="Times New Roman" w:cs="Times New Roman"/>
      <w:color w:val="FF0000"/>
      <w:szCs w:val="24"/>
      <w:lang w:val="pt-BR" w:eastAsia="ar-SA" w:bidi="ar-SA"/>
    </w:rPr>
  </w:style>
  <w:style w:type="paragraph" w:customStyle="1" w:styleId="42">
    <w:name w:val="western"/>
    <w:basedOn w:val="1"/>
    <w:qFormat/>
    <w:uiPriority w:val="0"/>
    <w:pPr>
      <w:widowControl/>
      <w:autoSpaceDE/>
      <w:autoSpaceDN/>
      <w:spacing w:before="100" w:after="119"/>
    </w:pPr>
    <w:rPr>
      <w:rFonts w:ascii="Times New Roman" w:hAnsi="Times New Roman" w:eastAsia="Times New Roman" w:cs="Times New Roman"/>
      <w:sz w:val="24"/>
      <w:szCs w:val="24"/>
      <w:lang w:val="pt-BR" w:eastAsia="ar-SA" w:bidi="ar-SA"/>
    </w:rPr>
  </w:style>
  <w:style w:type="character" w:customStyle="1" w:styleId="43">
    <w:name w:val="Rodapé Char1"/>
    <w:qFormat/>
    <w:locked/>
    <w:uiPriority w:val="99"/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customStyle="1" w:styleId="44">
    <w:name w:val="Default"/>
    <w:uiPriority w:val="0"/>
    <w:pPr>
      <w:widowControl/>
      <w:autoSpaceDE w:val="0"/>
      <w:autoSpaceDN w:val="0"/>
      <w:adjustRightInd w:val="0"/>
    </w:pPr>
    <w:rPr>
      <w:rFonts w:ascii="Arial" w:hAnsi="Arial" w:cs="Arial" w:eastAsiaTheme="minorHAnsi"/>
      <w:color w:val="000000"/>
      <w:sz w:val="24"/>
      <w:szCs w:val="24"/>
      <w:lang w:val="pt-BR" w:eastAsia="en-US" w:bidi="ar-SA"/>
    </w:rPr>
  </w:style>
  <w:style w:type="table" w:customStyle="1" w:styleId="45">
    <w:name w:val="Table Normal1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3E1B2F-8555-4538-93C3-254EADAB525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3753</Words>
  <Characters>20719</Characters>
  <Lines>174</Lines>
  <Paragraphs>49</Paragraphs>
  <TotalTime>3</TotalTime>
  <ScaleCrop>false</ScaleCrop>
  <LinksUpToDate>false</LinksUpToDate>
  <CharactersWithSpaces>24223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2021-02-17T10:47:00Z</dcterms:created>
  <dc:creator>fabio.rodrigues</dc:creator>
  <cp:lastModifiedBy>Queila</cp:lastModifiedBy>
  <cp:lastPrinted>2021-02-01T15:58:00Z</cp:lastPrinted>
  <dcterms:modified xsi:type="dcterms:W3CDTF">2026-08-17T11:25:00Z</dcterms:modified>
  <dc:title>2020.09.09 Edital Pregao SUREG-PR 10-2020 - LTCAT-PPRA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2020-09-10T00:00:00Z</vt:filetime>
  </property>
  <property fmtid="{D5CDD505-2E9C-101B-9397-08002B2CF9AE}" pid="3" name="Creator">
    <vt:lpwstr>PDFCreator 3.2.0.11758</vt:lpwstr>
  </property>
  <property fmtid="{D5CDD505-2E9C-101B-9397-08002B2CF9AE}" pid="4" name="LastSaved">
    <vt:filetime>2020-10-13T00:00:00Z</vt:filetime>
  </property>
  <property fmtid="{D5CDD505-2E9C-101B-9397-08002B2CF9AE}" pid="5" name="KSOTemplateDocerSaveRecord">
    <vt:lpwstr>eyJoZGlkIjoiZjgxODNkNTg5N2Y3OWFhZGU4YjBhMGQ4NzBkZjAxYWUiLCJ1c2VySWQiOiIxMjM2OTUxNjA0MDY0In0=</vt:lpwstr>
  </property>
  <property fmtid="{D5CDD505-2E9C-101B-9397-08002B2CF9AE}" pid="6" name="KSOProductBuildVer">
    <vt:lpwstr>1046-12.1.0.28032</vt:lpwstr>
  </property>
  <property fmtid="{D5CDD505-2E9C-101B-9397-08002B2CF9AE}" pid="7" name="ICV">
    <vt:lpwstr>EA5D6839314D4E3B9C2D40E586CF85F9_12</vt:lpwstr>
  </property>
</Properties>
</file>